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14:paraId="306854A5" w14:textId="77777777"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14:paraId="73802ACD" w14:textId="77777777">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14:paraId="16F7022C" w14:textId="77777777">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14:paraId="1D1B03AA" w14:textId="77777777">
            <w:pPr>
              <w:spacing w:line="240" w:lineRule="auto"/>
              <w:jc w:val="center"/>
              <w:rPr>
                <w:rFonts w:cstheme="minorHAnsi"/>
                <w:b/>
                <w:bCs/>
              </w:rPr>
            </w:pPr>
            <w:r>
              <w:rPr>
                <w:rFonts w:cstheme="minorHAnsi"/>
                <w:b/>
                <w:bCs/>
              </w:rPr>
              <w:t>Date</w:t>
            </w:r>
          </w:p>
        </w:tc>
      </w:tr>
      <w:tr w14:paraId="2D84E3E2" w14:textId="77777777" w:rsidTr="00711CC6">
        <w:tblPrEx>
          <w:tblW w:w="10064" w:type="dxa"/>
          <w:tblLayout w:type="fixed"/>
          <w:tblLook w:val="0000"/>
        </w:tblPrEx>
        <w:trPr>
          <w:cantSplit/>
          <w:trHeight w:val="1512"/>
        </w:trPr>
        <w:tc>
          <w:tcPr>
            <w:tcW w:w="2835" w:type="dxa"/>
            <w:vAlign w:val="center"/>
          </w:tcPr>
          <w:p w:rsidR="00284E95" w:rsidRPr="00ED4FF1" w:rsidP="00BF1CCE" w14:paraId="2D840726" w14:textId="77777777">
            <w:pPr>
              <w:spacing w:after="0"/>
              <w:jc w:val="center"/>
            </w:pPr>
            <w:r w:rsidRPr="00ED4FF1">
              <w:fldChar w:fldCharType="begin"/>
            </w:r>
            <w:r w:rsidR="00F3391B">
              <w:instrText xml:space="preserve"> DOCPROPERTY  LeadDirector  \* MERGEFORMAT </w:instrText>
            </w:r>
            <w:r w:rsidRPr="00ED4FF1">
              <w:fldChar w:fldCharType="separate"/>
            </w:r>
            <w:r w:rsidRPr="00ED4FF1">
              <w:t>Deputy Chief Executive</w:t>
            </w:r>
            <w:r w:rsidRPr="00ED4FF1">
              <w:fldChar w:fldCharType="end"/>
            </w:r>
          </w:p>
          <w:p w:rsidR="00284E95" w:rsidRPr="00ED4FF1" w:rsidP="00BF1CCE" w14:paraId="3D13020A" w14:textId="77777777">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Leader of the Council and Cabinet Member (Strategy and Reform)</w:t>
            </w:r>
            <w:r w:rsidRPr="00ED4FF1">
              <w:fldChar w:fldCharType="end"/>
            </w:r>
            <w:r w:rsidRPr="00ED4FF1">
              <w:t>)</w:t>
            </w:r>
          </w:p>
        </w:tc>
        <w:tc>
          <w:tcPr>
            <w:tcW w:w="4678" w:type="dxa"/>
          </w:tcPr>
          <w:p w:rsidR="00284E95" w:rsidP="00D25FC7" w14:paraId="1D420D2E" w14:textId="343ED1D7">
            <w:pPr>
              <w:spacing w:before="120" w:after="120" w:line="240" w:lineRule="auto"/>
              <w:rPr>
                <w:rFonts w:cstheme="minorHAnsi"/>
              </w:rPr>
            </w:pPr>
            <w:r>
              <w:rPr>
                <w:rFonts w:cstheme="minorHAnsi"/>
              </w:rPr>
              <w:t xml:space="preserve">Scrutiny Budget </w:t>
            </w:r>
            <w:bookmarkStart w:id="1" w:name="_GoBack"/>
            <w:bookmarkEnd w:id="1"/>
            <w:r>
              <w:rPr>
                <w:rFonts w:cstheme="minorHAnsi"/>
              </w:rPr>
              <w:t>and Performance Panel</w:t>
            </w:r>
          </w:p>
          <w:p w:rsidR="00711CC6" w:rsidP="00711CC6" w14:paraId="0A00657F" w14:textId="77777777">
            <w:pPr>
              <w:spacing w:after="0" w:line="240" w:lineRule="auto"/>
              <w:jc w:val="center"/>
              <w:rPr>
                <w:rFonts w:cstheme="minorHAnsi"/>
              </w:rPr>
            </w:pPr>
          </w:p>
          <w:p w:rsidR="00284E95" w:rsidRPr="00ED4FF1" w:rsidP="00711CC6" w14:paraId="4C426D10" w14:textId="77777777">
            <w:pPr>
              <w:spacing w:line="240" w:lineRule="auto"/>
              <w:jc w:val="center"/>
              <w:rPr>
                <w:rFonts w:cstheme="minorHAnsi"/>
              </w:rPr>
            </w:pPr>
            <w:r w:rsidRPr="00ED4FF1">
              <w:rPr>
                <w:rFonts w:cstheme="minorHAnsi"/>
              </w:rPr>
              <w:t>Cabinet</w:t>
            </w:r>
          </w:p>
        </w:tc>
        <w:tc>
          <w:tcPr>
            <w:tcW w:w="2551" w:type="dxa"/>
            <w:vAlign w:val="center"/>
          </w:tcPr>
          <w:p w:rsidR="005971EC" w:rsidP="00145AF0" w14:paraId="2B5ED3EF" w14:textId="009B6825">
            <w:pPr>
              <w:spacing w:line="240" w:lineRule="auto"/>
              <w:jc w:val="center"/>
              <w:rPr>
                <w:rFonts w:cstheme="minorHAnsi"/>
              </w:rPr>
            </w:pPr>
            <w:r>
              <w:rPr>
                <w:rFonts w:cstheme="minorHAnsi"/>
              </w:rPr>
              <w:t>Monday, 1</w:t>
            </w:r>
            <w:r w:rsidR="00901540">
              <w:rPr>
                <w:rFonts w:cstheme="minorHAnsi"/>
              </w:rPr>
              <w:t>4</w:t>
            </w:r>
            <w:r>
              <w:rPr>
                <w:rFonts w:cstheme="minorHAnsi"/>
              </w:rPr>
              <w:t xml:space="preserve"> </w:t>
            </w:r>
            <w:r w:rsidR="00901540">
              <w:rPr>
                <w:rFonts w:cstheme="minorHAnsi"/>
              </w:rPr>
              <w:t>November</w:t>
            </w:r>
            <w:r>
              <w:rPr>
                <w:rFonts w:cstheme="minorHAnsi"/>
              </w:rPr>
              <w:t xml:space="preserve"> </w:t>
            </w:r>
            <w:r w:rsidRPr="006E47A9" w:rsidR="00C57144">
              <w:rPr>
                <w:rFonts w:cstheme="minorHAnsi"/>
              </w:rPr>
              <w:t>2022</w:t>
            </w:r>
          </w:p>
          <w:p w:rsidR="006E47A9" w:rsidRPr="00ED4FF1" w:rsidP="00901540" w14:paraId="6FF5387C" w14:textId="5392A543">
            <w:pPr>
              <w:spacing w:line="240" w:lineRule="auto"/>
              <w:jc w:val="center"/>
              <w:rPr>
                <w:rFonts w:cstheme="minorHAnsi"/>
              </w:rPr>
            </w:pPr>
            <w:r w:rsidRPr="006E47A9">
              <w:rPr>
                <w:rFonts w:cstheme="minorHAnsi"/>
              </w:rPr>
              <w:t>Wednesday</w:t>
            </w:r>
            <w:r>
              <w:rPr>
                <w:rFonts w:cstheme="minorHAnsi"/>
              </w:rPr>
              <w:t>,</w:t>
            </w:r>
            <w:r w:rsidRPr="006E47A9">
              <w:rPr>
                <w:rFonts w:cstheme="minorHAnsi"/>
              </w:rPr>
              <w:t xml:space="preserve"> 1</w:t>
            </w:r>
            <w:r w:rsidR="00901540">
              <w:rPr>
                <w:rFonts w:cstheme="minorHAnsi"/>
              </w:rPr>
              <w:t>6</w:t>
            </w:r>
            <w:r w:rsidRPr="006E47A9">
              <w:rPr>
                <w:rFonts w:cstheme="minorHAnsi"/>
              </w:rPr>
              <w:t xml:space="preserve"> </w:t>
            </w:r>
            <w:r w:rsidR="00901540">
              <w:rPr>
                <w:rFonts w:cstheme="minorHAnsi"/>
              </w:rPr>
              <w:t>November</w:t>
            </w:r>
            <w:r w:rsidRPr="006E47A9">
              <w:rPr>
                <w:rFonts w:cstheme="minorHAnsi"/>
              </w:rPr>
              <w:t xml:space="preserve"> 2022</w:t>
            </w:r>
          </w:p>
        </w:tc>
      </w:tr>
    </w:tbl>
    <w:p w:rsidR="00CF42B2" w:rsidP="002A4A7D" w14:paraId="5E27323C" w14:textId="77777777">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rsidR="00284E95" w:rsidP="002A4A7D" w14:paraId="20BF1F89" w14:textId="77777777">
      <w:pPr>
        <w:pStyle w:val="Heading1"/>
        <w:spacing w:before="0" w:beforeAutospacing="0"/>
        <w:rPr>
          <w:rFonts w:asciiTheme="majorHAnsi" w:hAnsiTheme="majorHAnsi" w:cstheme="majorHAnsi"/>
          <w:sz w:val="28"/>
          <w:szCs w:val="28"/>
        </w:rPr>
      </w:pPr>
    </w:p>
    <w:tbl>
      <w:tblPr>
        <w:tblpPr w:leftFromText="181" w:rightFromText="181" w:vertAnchor="page" w:horzAnchor="page" w:tblpX="1033" w:tblpY="5029"/>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14:paraId="54799CB0" w14:textId="77777777" w:rsidTr="00504212">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2"/>
        </w:trPr>
        <w:tc>
          <w:tcPr>
            <w:tcW w:w="5382" w:type="dxa"/>
            <w:shd w:val="clear" w:color="auto" w:fill="auto"/>
            <w:vAlign w:val="center"/>
          </w:tcPr>
          <w:p w:rsidR="00257CA1" w:rsidRPr="00D1305C" w:rsidP="00676DDF" w14:paraId="5F298849" w14:textId="77777777">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vAlign w:val="center"/>
          </w:tcPr>
          <w:p w:rsidR="00257CA1" w:rsidRPr="00257CA1" w:rsidP="00676DDF" w14:paraId="575E373A" w14:textId="77777777">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r w14:paraId="22D51ECB" w14:textId="77777777" w:rsidTr="00504212">
        <w:tblPrEx>
          <w:tblW w:w="10065" w:type="dxa"/>
          <w:tblLook w:val="04A0"/>
        </w:tblPrEx>
        <w:trPr>
          <w:trHeight w:val="400"/>
        </w:trPr>
        <w:tc>
          <w:tcPr>
            <w:tcW w:w="5382" w:type="dxa"/>
            <w:shd w:val="clear" w:color="auto" w:fill="auto"/>
            <w:vAlign w:val="center"/>
          </w:tcPr>
          <w:p w:rsidR="00257CA1" w:rsidRPr="00D1305C" w:rsidP="00676DDF" w14:paraId="587CE600" w14:textId="77777777">
            <w:pPr>
              <w:spacing w:after="0"/>
              <w:rPr>
                <w:rFonts w:eastAsia="Times New Roman" w:cstheme="minorHAnsi"/>
                <w:bCs/>
                <w:color w:val="000000" w:themeColor="text1"/>
                <w:kern w:val="36"/>
                <w:lang w:eastAsia="en-GB"/>
              </w:rPr>
            </w:pPr>
            <w:r w:rsidRPr="00257CA1">
              <w:rPr>
                <w:rFonts w:eastAsia="Times New Roman" w:cstheme="minorHAnsi"/>
                <w:bCs/>
                <w:color w:val="000000" w:themeColor="text1"/>
                <w:kern w:val="36"/>
                <w:lang w:eastAsia="en-GB"/>
              </w:rPr>
              <w:t>Is this decision key?</w:t>
            </w:r>
          </w:p>
        </w:tc>
        <w:tc>
          <w:tcPr>
            <w:tcW w:w="4683" w:type="dxa"/>
            <w:shd w:val="clear" w:color="auto" w:fill="auto"/>
            <w:vAlign w:val="center"/>
          </w:tcPr>
          <w:p w:rsidR="00257CA1" w:rsidRPr="00D1305C" w:rsidP="00676DDF" w14:paraId="4A907494" w14:textId="7777777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rsidR="00B726FB" w:rsidP="00B726FB" w14:paraId="77017D44" w14:textId="44F0E7D3">
      <w:pPr>
        <w:pStyle w:val="Heading1"/>
        <w:spacing w:before="0" w:beforeAutospacing="0" w:after="0" w:afterAutospacing="0"/>
        <w:contextualSpacing/>
        <w:rPr>
          <w:rFonts w:asciiTheme="majorHAnsi" w:hAnsiTheme="majorHAnsi" w:cstheme="majorHAnsi"/>
          <w:sz w:val="28"/>
          <w:szCs w:val="28"/>
        </w:rPr>
      </w:pPr>
      <w:r w:rsidRPr="00901540">
        <w:rPr>
          <w:rFonts w:asciiTheme="majorHAnsi" w:hAnsiTheme="majorHAnsi" w:cstheme="majorHAnsi"/>
          <w:sz w:val="28"/>
          <w:szCs w:val="28"/>
        </w:rPr>
        <w:t xml:space="preserve">Quarter Two Performance Monitoring Report </w:t>
      </w:r>
      <w:r w:rsidRPr="00901540">
        <w:rPr>
          <w:rFonts w:asciiTheme="majorHAnsi" w:hAnsiTheme="majorHAnsi" w:cstheme="majorHAnsi"/>
          <w:sz w:val="28"/>
          <w:szCs w:val="28"/>
        </w:rPr>
        <w:t>2022-2023</w:t>
      </w:r>
    </w:p>
    <w:p w:rsidR="00901540" w:rsidP="00B726FB" w14:paraId="68FA642A" w14:textId="77777777">
      <w:pPr>
        <w:pStyle w:val="Heading1"/>
        <w:spacing w:before="0" w:beforeAutospacing="0" w:after="0" w:afterAutospacing="0"/>
        <w:contextualSpacing/>
        <w:rPr>
          <w:rFonts w:asciiTheme="majorHAnsi" w:hAnsiTheme="majorHAnsi" w:cstheme="majorHAnsi"/>
          <w:sz w:val="22"/>
        </w:rPr>
      </w:pPr>
    </w:p>
    <w:p w:rsidR="000179AF" w:rsidRPr="00ED4FF1" w:rsidP="00B726FB" w14:paraId="0F2F9AF5" w14:textId="77777777">
      <w:pPr>
        <w:pStyle w:val="Heading1"/>
        <w:spacing w:before="0" w:beforeAutospacing="0"/>
        <w:rPr>
          <w:rFonts w:asciiTheme="majorHAnsi" w:hAnsiTheme="majorHAnsi" w:cstheme="majorHAnsi"/>
          <w:sz w:val="8"/>
          <w:szCs w:val="22"/>
        </w:rPr>
      </w:pPr>
      <w:r w:rsidRPr="00ED4FF1">
        <w:rPr>
          <w:rFonts w:asciiTheme="majorHAnsi" w:hAnsiTheme="majorHAnsi" w:cstheme="majorHAnsi"/>
          <w:sz w:val="22"/>
        </w:rPr>
        <w:t>Purpose of the Report</w:t>
      </w:r>
    </w:p>
    <w:p w:rsidR="001A6A50" w:rsidP="004B26AC" w14:paraId="30586938" w14:textId="13271B9C">
      <w:pPr>
        <w:numPr>
          <w:ilvl w:val="0"/>
          <w:numId w:val="1"/>
        </w:numPr>
        <w:spacing w:after="0" w:line="240" w:lineRule="auto"/>
        <w:ind w:left="567" w:hanging="567"/>
        <w:jc w:val="both"/>
        <w:rPr>
          <w:rFonts w:cstheme="minorHAnsi"/>
          <w:bCs/>
          <w:iCs/>
        </w:rPr>
      </w:pPr>
      <w:r w:rsidRPr="001A6A50">
        <w:rPr>
          <w:rFonts w:cstheme="minorHAnsi"/>
          <w:bCs/>
          <w:iCs/>
        </w:rPr>
        <w:t>To provide Cabinet with a position statement for the Corporate Strategy for quarter</w:t>
      </w:r>
      <w:r>
        <w:rPr>
          <w:rFonts w:cstheme="minorHAnsi"/>
          <w:bCs/>
          <w:iCs/>
        </w:rPr>
        <w:t xml:space="preserve"> </w:t>
      </w:r>
      <w:r w:rsidR="00901540">
        <w:rPr>
          <w:rFonts w:cstheme="minorHAnsi"/>
          <w:bCs/>
          <w:iCs/>
        </w:rPr>
        <w:t>two</w:t>
      </w:r>
      <w:r>
        <w:rPr>
          <w:rFonts w:cstheme="minorHAnsi"/>
          <w:bCs/>
          <w:iCs/>
        </w:rPr>
        <w:t xml:space="preserve"> (</w:t>
      </w:r>
      <w:r w:rsidR="00901540">
        <w:rPr>
          <w:rFonts w:cstheme="minorHAnsi"/>
          <w:bCs/>
          <w:iCs/>
        </w:rPr>
        <w:t>July</w:t>
      </w:r>
      <w:r>
        <w:rPr>
          <w:rFonts w:cstheme="minorHAnsi"/>
          <w:bCs/>
          <w:iCs/>
        </w:rPr>
        <w:t xml:space="preserve"> – </w:t>
      </w:r>
      <w:r w:rsidR="00901540">
        <w:rPr>
          <w:rFonts w:cstheme="minorHAnsi"/>
          <w:bCs/>
          <w:iCs/>
        </w:rPr>
        <w:t>September</w:t>
      </w:r>
      <w:r>
        <w:rPr>
          <w:rFonts w:cstheme="minorHAnsi"/>
          <w:bCs/>
          <w:iCs/>
        </w:rPr>
        <w:t>) 2022/23</w:t>
      </w:r>
    </w:p>
    <w:p w:rsidR="001A6A50" w:rsidRPr="001A6A50" w:rsidP="001A6A50" w14:paraId="4AC9565F" w14:textId="77777777">
      <w:pPr>
        <w:spacing w:after="0" w:line="240" w:lineRule="auto"/>
        <w:ind w:left="360"/>
        <w:jc w:val="both"/>
        <w:rPr>
          <w:rFonts w:cstheme="minorHAnsi"/>
          <w:bCs/>
          <w:iCs/>
        </w:rPr>
      </w:pPr>
    </w:p>
    <w:p w:rsidR="000179AF" w:rsidRPr="002A4A7D" w:rsidP="000179AF" w14:paraId="290349DD" w14:textId="77777777">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w:t>
      </w:r>
      <w:r w:rsidR="00486C87">
        <w:rPr>
          <w:rFonts w:asciiTheme="majorHAnsi" w:hAnsiTheme="majorHAnsi" w:cstheme="majorHAnsi"/>
          <w:sz w:val="22"/>
        </w:rPr>
        <w:t xml:space="preserve"> the</w:t>
      </w:r>
      <w:r>
        <w:rPr>
          <w:rFonts w:asciiTheme="majorHAnsi" w:hAnsiTheme="majorHAnsi" w:cstheme="majorHAnsi"/>
          <w:sz w:val="22"/>
        </w:rPr>
        <w:t xml:space="preserve"> </w:t>
      </w:r>
      <w:r w:rsidR="00486C87">
        <w:rPr>
          <w:rFonts w:asciiTheme="majorHAnsi" w:hAnsiTheme="majorHAnsi" w:cstheme="majorHAnsi"/>
          <w:sz w:val="22"/>
        </w:rPr>
        <w:t>Scrutiny and Budget Performance Panel</w:t>
      </w:r>
    </w:p>
    <w:p w:rsidR="00486C87" w:rsidP="004B26AC" w14:paraId="7E356478" w14:textId="77777777">
      <w:pPr>
        <w:pStyle w:val="ListParagraph"/>
        <w:numPr>
          <w:ilvl w:val="0"/>
          <w:numId w:val="1"/>
        </w:numPr>
        <w:spacing w:after="0" w:line="240" w:lineRule="auto"/>
        <w:ind w:left="567" w:hanging="567"/>
        <w:jc w:val="both"/>
        <w:rPr>
          <w:rFonts w:cstheme="minorHAnsi"/>
          <w:bCs/>
          <w:iCs/>
        </w:rPr>
      </w:pPr>
      <w:r w:rsidRPr="00F87D59">
        <w:rPr>
          <w:rFonts w:cstheme="minorHAnsi"/>
          <w:bCs/>
          <w:iCs/>
        </w:rPr>
        <w:t xml:space="preserve">The Scrutiny Budget and Performance Panel </w:t>
      </w:r>
      <w:r w:rsidRPr="00F87D59">
        <w:rPr>
          <w:rFonts w:cstheme="minorHAnsi"/>
          <w:bCs/>
          <w:iCs/>
        </w:rPr>
        <w:t>are asked to consider the report and make comments and recommendations to the Cabinet</w:t>
      </w:r>
      <w:r>
        <w:rPr>
          <w:rFonts w:cstheme="minorHAnsi"/>
          <w:bCs/>
          <w:iCs/>
        </w:rPr>
        <w:t>.</w:t>
      </w:r>
    </w:p>
    <w:p w:rsidR="006E47A9" w:rsidP="006E47A9" w14:paraId="615C50D8" w14:textId="77777777">
      <w:pPr>
        <w:pStyle w:val="ListParagraph"/>
        <w:spacing w:after="0" w:line="240" w:lineRule="auto"/>
        <w:ind w:left="360"/>
        <w:jc w:val="both"/>
        <w:rPr>
          <w:rFonts w:cstheme="minorHAnsi"/>
          <w:bCs/>
          <w:iCs/>
        </w:rPr>
      </w:pPr>
    </w:p>
    <w:p w:rsidR="002A4A7D" w:rsidRPr="00ED4FF1" w:rsidP="002A4A7D" w14:paraId="2D96550C" w14:textId="77777777">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rsidR="00486C87" w:rsidRPr="001A3941" w:rsidP="004B26AC" w14:paraId="7B497A62" w14:textId="77777777">
      <w:pPr>
        <w:pStyle w:val="ListParagraph"/>
        <w:numPr>
          <w:ilvl w:val="0"/>
          <w:numId w:val="1"/>
        </w:numPr>
        <w:spacing w:after="0" w:line="240" w:lineRule="auto"/>
        <w:ind w:left="567" w:hanging="567"/>
        <w:rPr>
          <w:rFonts w:ascii="Arial" w:eastAsia="Calibri" w:hAnsi="Arial" w:cs="Times New Roman"/>
        </w:rPr>
      </w:pPr>
      <w:r w:rsidRPr="001A3941">
        <w:rPr>
          <w:rFonts w:ascii="Arial" w:eastAsia="Calibri" w:hAnsi="Arial" w:cs="Times New Roman"/>
        </w:rPr>
        <w:t xml:space="preserve">Cabinet is asked to </w:t>
      </w:r>
      <w:r>
        <w:rPr>
          <w:rFonts w:ascii="Arial" w:eastAsia="Calibri" w:hAnsi="Arial" w:cs="Times New Roman"/>
        </w:rPr>
        <w:t>note</w:t>
      </w:r>
      <w:r w:rsidRPr="001A3941">
        <w:rPr>
          <w:rFonts w:ascii="Arial" w:eastAsia="Calibri" w:hAnsi="Arial" w:cs="Times New Roman"/>
        </w:rPr>
        <w:t xml:space="preserve"> the report.</w:t>
      </w:r>
    </w:p>
    <w:p w:rsidR="002A4A7D" w:rsidP="002A4A7D" w14:paraId="4CE8F750" w14:textId="77777777">
      <w:pPr>
        <w:spacing w:after="0" w:line="240" w:lineRule="auto"/>
        <w:jc w:val="both"/>
        <w:rPr>
          <w:rFonts w:cstheme="minorHAnsi"/>
          <w:bCs/>
          <w:iCs/>
        </w:rPr>
      </w:pPr>
    </w:p>
    <w:p w:rsidR="000179AF" w:rsidRPr="00ED4FF1" w:rsidP="00ED4FF1" w14:paraId="20649FB1" w14:textId="77777777">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486C87" w:rsidRPr="00F87D59" w:rsidP="004B26AC" w14:paraId="4F4F04CB" w14:textId="77777777">
      <w:pPr>
        <w:pStyle w:val="ListParagraph"/>
        <w:numPr>
          <w:ilvl w:val="0"/>
          <w:numId w:val="1"/>
        </w:numPr>
        <w:ind w:left="567" w:hanging="567"/>
        <w:rPr>
          <w:rFonts w:cstheme="minorHAnsi"/>
          <w:bCs/>
          <w:iCs/>
        </w:rPr>
      </w:pPr>
      <w:r w:rsidRPr="00F87D59">
        <w:rPr>
          <w:rFonts w:cstheme="minorHAnsi"/>
          <w:bCs/>
          <w:iCs/>
        </w:rPr>
        <w:t xml:space="preserve">The </w:t>
      </w:r>
      <w:r w:rsidR="00E00DAC">
        <w:rPr>
          <w:rFonts w:cstheme="minorHAnsi"/>
          <w:bCs/>
          <w:iCs/>
        </w:rPr>
        <w:t>c</w:t>
      </w:r>
      <w:r w:rsidRPr="00F87D59">
        <w:rPr>
          <w:rFonts w:cstheme="minorHAnsi"/>
          <w:bCs/>
          <w:iCs/>
        </w:rPr>
        <w:t xml:space="preserve">ouncil’s performance framework sets out the process for reporting progress against the objectives of the Corporate Strategy. Robust monitoring ensures that the </w:t>
      </w:r>
      <w:r w:rsidR="00E00DAC">
        <w:rPr>
          <w:rFonts w:cstheme="minorHAnsi"/>
          <w:bCs/>
          <w:iCs/>
        </w:rPr>
        <w:t>c</w:t>
      </w:r>
      <w:r w:rsidRPr="00F87D59">
        <w:rPr>
          <w:rFonts w:cstheme="minorHAnsi"/>
          <w:bCs/>
          <w:iCs/>
        </w:rPr>
        <w:t>ouncil continues to deliver its priorities and achieves the best outcomes for residents.</w:t>
      </w:r>
    </w:p>
    <w:p w:rsidR="000179AF" w:rsidRPr="00ED4FF1" w:rsidP="00ED4FF1" w14:paraId="2577C221" w14:textId="77777777">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 xml:space="preserve">Other </w:t>
      </w:r>
      <w:r w:rsidRPr="00ED4FF1">
        <w:rPr>
          <w:rFonts w:asciiTheme="majorHAnsi" w:hAnsiTheme="majorHAnsi" w:cstheme="majorHAnsi"/>
          <w:sz w:val="22"/>
          <w:szCs w:val="22"/>
        </w:rPr>
        <w:t>options considered and rejected</w:t>
      </w:r>
    </w:p>
    <w:p w:rsidR="000179AF" w:rsidRPr="003E3722" w:rsidP="004B26AC" w14:paraId="7E5F326B" w14:textId="77777777">
      <w:pPr>
        <w:numPr>
          <w:ilvl w:val="0"/>
          <w:numId w:val="1"/>
        </w:numPr>
        <w:spacing w:after="0" w:line="240" w:lineRule="auto"/>
        <w:ind w:left="567" w:hanging="567"/>
        <w:jc w:val="both"/>
        <w:rPr>
          <w:rFonts w:cstheme="minorHAnsi"/>
          <w:bCs/>
          <w:iCs/>
        </w:rPr>
      </w:pPr>
      <w:r>
        <w:rPr>
          <w:rFonts w:cstheme="minorHAnsi"/>
          <w:bCs/>
          <w:iCs/>
        </w:rPr>
        <w:t>N/A</w:t>
      </w:r>
    </w:p>
    <w:p w:rsidR="000179AF" w:rsidRPr="00D4431F" w:rsidP="000179AF" w14:paraId="251E292F" w14:textId="77777777">
      <w:pPr>
        <w:spacing w:after="0" w:line="240" w:lineRule="auto"/>
        <w:ind w:left="720"/>
        <w:jc w:val="both"/>
        <w:rPr>
          <w:rFonts w:cstheme="minorHAnsi"/>
          <w:bCs/>
          <w:i/>
        </w:rPr>
      </w:pPr>
    </w:p>
    <w:p w:rsidR="000179AF" w:rsidRPr="00ED4FF1" w:rsidP="00ED4FF1" w14:paraId="111EC2B9"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0179AF" w:rsidP="004B26AC" w14:paraId="6420F418" w14:textId="77777777">
      <w:pPr>
        <w:numPr>
          <w:ilvl w:val="0"/>
          <w:numId w:val="1"/>
        </w:numPr>
        <w:spacing w:after="0" w:line="240" w:lineRule="auto"/>
        <w:ind w:left="567" w:hanging="567"/>
        <w:jc w:val="both"/>
        <w:rPr>
          <w:rFonts w:cstheme="minorHAnsi"/>
          <w:bCs/>
          <w:i/>
        </w:rPr>
      </w:pPr>
      <w:r w:rsidRPr="00D4431F">
        <w:rPr>
          <w:rFonts w:cstheme="minorHAnsi"/>
          <w:bCs/>
        </w:rPr>
        <w:t xml:space="preserve"> The report relates to the following corporate priorities:</w:t>
      </w:r>
    </w:p>
    <w:p w:rsidR="002A4A7D" w:rsidRPr="006149F1" w:rsidP="002A4A7D" w14:paraId="5F412218" w14:textId="77777777">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14:paraId="53D7A39E" w14:textId="77777777" w:rsidTr="00257CA1">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257CA1" w:rsidP="00257CA1" w14:paraId="60C5E9B4" w14:textId="77777777">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An exemplary council</w:t>
            </w:r>
          </w:p>
        </w:tc>
        <w:tc>
          <w:tcPr>
            <w:tcW w:w="4678" w:type="dxa"/>
            <w:vAlign w:val="center"/>
          </w:tcPr>
          <w:p w:rsidR="001073DC" w:rsidRPr="00257CA1" w:rsidP="00257CA1" w14:paraId="23A38951" w14:textId="77777777">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Thriving communities</w:t>
            </w:r>
          </w:p>
        </w:tc>
      </w:tr>
      <w:tr w14:paraId="12490400" w14:textId="77777777" w:rsidTr="00257CA1">
        <w:tblPrEx>
          <w:tblW w:w="9526" w:type="dxa"/>
          <w:tblLook w:val="04A0"/>
        </w:tblPrEx>
        <w:tc>
          <w:tcPr>
            <w:tcW w:w="4848" w:type="dxa"/>
            <w:shd w:val="clear" w:color="auto" w:fill="auto"/>
            <w:vAlign w:val="center"/>
          </w:tcPr>
          <w:p w:rsidR="001073DC" w:rsidRPr="00257CA1" w:rsidP="00257CA1" w14:paraId="12ACD146" w14:textId="77777777">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A fair local economy that works for everyone</w:t>
            </w:r>
          </w:p>
        </w:tc>
        <w:tc>
          <w:tcPr>
            <w:tcW w:w="4678" w:type="dxa"/>
            <w:vAlign w:val="center"/>
          </w:tcPr>
          <w:p w:rsidR="001073DC" w:rsidRPr="00257CA1" w:rsidP="00257CA1" w14:paraId="0AE51AFD" w14:textId="77777777">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Good homes, green spaces, healthy places</w:t>
            </w:r>
          </w:p>
        </w:tc>
      </w:tr>
    </w:tbl>
    <w:p w:rsidR="00AA761C" w:rsidP="00B726FB" w14:paraId="162B2E4C" w14:textId="77777777">
      <w:pPr>
        <w:pStyle w:val="Heading2"/>
        <w:spacing w:before="0" w:beforeAutospacing="0"/>
        <w:rPr>
          <w:rFonts w:asciiTheme="majorHAnsi" w:hAnsiTheme="majorHAnsi" w:cstheme="majorHAnsi"/>
          <w:sz w:val="22"/>
          <w:szCs w:val="22"/>
        </w:rPr>
      </w:pPr>
    </w:p>
    <w:p w:rsidR="00382D6D" w:rsidP="00B726FB" w14:paraId="119BD93A" w14:textId="77777777">
      <w:pPr>
        <w:pStyle w:val="Heading2"/>
        <w:spacing w:before="0" w:beforeAutospacing="0"/>
        <w:rPr>
          <w:rFonts w:asciiTheme="majorHAnsi" w:hAnsiTheme="majorHAnsi" w:cstheme="majorHAnsi"/>
          <w:sz w:val="22"/>
          <w:szCs w:val="22"/>
        </w:rPr>
      </w:pPr>
    </w:p>
    <w:p w:rsidR="00B726FB" w:rsidRPr="00B726FB" w:rsidP="00B726FB" w14:paraId="22E941B7" w14:textId="77777777">
      <w:pPr>
        <w:pStyle w:val="Heading2"/>
        <w:spacing w:before="0" w:beforeAutospacing="0"/>
        <w:rPr>
          <w:rFonts w:asciiTheme="majorHAnsi" w:hAnsiTheme="majorHAnsi" w:cstheme="majorHAnsi"/>
          <w:sz w:val="22"/>
          <w:szCs w:val="22"/>
        </w:rPr>
      </w:pPr>
      <w:r w:rsidRPr="00B726FB">
        <w:rPr>
          <w:rFonts w:asciiTheme="majorHAnsi" w:hAnsiTheme="majorHAnsi" w:cstheme="majorHAnsi"/>
          <w:sz w:val="22"/>
          <w:szCs w:val="22"/>
        </w:rPr>
        <w:t>Executive summary</w:t>
      </w:r>
    </w:p>
    <w:p w:rsidR="00B726FB" w:rsidP="004B26AC" w14:paraId="698AD36F" w14:textId="4FF14C6E">
      <w:pPr>
        <w:pStyle w:val="ListParagraph"/>
        <w:numPr>
          <w:ilvl w:val="0"/>
          <w:numId w:val="1"/>
        </w:numPr>
        <w:ind w:left="567" w:hanging="567"/>
        <w:rPr>
          <w:rFonts w:cstheme="minorHAnsi"/>
          <w:bCs/>
          <w:iCs/>
        </w:rPr>
      </w:pPr>
      <w:r w:rsidRPr="00F87D59">
        <w:rPr>
          <w:rFonts w:cstheme="minorHAnsi"/>
          <w:bCs/>
          <w:iCs/>
        </w:rPr>
        <w:t xml:space="preserve">This report presents the performance of the Corporate Strategy at the end of quarter </w:t>
      </w:r>
      <w:r w:rsidR="00057CD6">
        <w:rPr>
          <w:rFonts w:cstheme="minorHAnsi"/>
          <w:bCs/>
          <w:iCs/>
        </w:rPr>
        <w:t>two</w:t>
      </w:r>
      <w:r w:rsidRPr="00F87D59">
        <w:rPr>
          <w:rFonts w:cstheme="minorHAnsi"/>
          <w:bCs/>
          <w:iCs/>
        </w:rPr>
        <w:t xml:space="preserve"> (</w:t>
      </w:r>
      <w:r>
        <w:rPr>
          <w:rFonts w:cstheme="minorHAnsi"/>
          <w:bCs/>
          <w:iCs/>
        </w:rPr>
        <w:t xml:space="preserve">1 </w:t>
      </w:r>
      <w:r w:rsidR="00057CD6">
        <w:rPr>
          <w:rFonts w:cstheme="minorHAnsi"/>
          <w:bCs/>
          <w:iCs/>
        </w:rPr>
        <w:t>July</w:t>
      </w:r>
      <w:r w:rsidRPr="00EE6935">
        <w:rPr>
          <w:rFonts w:cstheme="minorHAnsi"/>
          <w:bCs/>
          <w:iCs/>
        </w:rPr>
        <w:t xml:space="preserve"> – 3</w:t>
      </w:r>
      <w:r>
        <w:rPr>
          <w:rFonts w:cstheme="minorHAnsi"/>
          <w:bCs/>
          <w:iCs/>
        </w:rPr>
        <w:t>0</w:t>
      </w:r>
      <w:r w:rsidRPr="00EE6935">
        <w:rPr>
          <w:rFonts w:cstheme="minorHAnsi"/>
          <w:bCs/>
          <w:iCs/>
        </w:rPr>
        <w:t xml:space="preserve"> </w:t>
      </w:r>
      <w:r w:rsidR="00057CD6">
        <w:rPr>
          <w:rFonts w:cstheme="minorHAnsi"/>
          <w:bCs/>
          <w:iCs/>
        </w:rPr>
        <w:t>September</w:t>
      </w:r>
      <w:r w:rsidRPr="00EE6935">
        <w:rPr>
          <w:rFonts w:cstheme="minorHAnsi"/>
          <w:bCs/>
          <w:iCs/>
        </w:rPr>
        <w:t xml:space="preserve"> 2022). This report provides an update on the current position for the 1</w:t>
      </w:r>
      <w:r w:rsidRPr="00EE6935" w:rsidR="00EE6935">
        <w:rPr>
          <w:rFonts w:cstheme="minorHAnsi"/>
          <w:bCs/>
          <w:iCs/>
        </w:rPr>
        <w:t>5</w:t>
      </w:r>
      <w:r w:rsidRPr="00EE6935">
        <w:rPr>
          <w:rFonts w:cstheme="minorHAnsi"/>
          <w:bCs/>
          <w:iCs/>
        </w:rPr>
        <w:t xml:space="preserve"> projects, 2</w:t>
      </w:r>
      <w:r w:rsidRPr="00EE6935" w:rsidR="00EE6935">
        <w:rPr>
          <w:rFonts w:cstheme="minorHAnsi"/>
          <w:bCs/>
          <w:iCs/>
        </w:rPr>
        <w:t>7</w:t>
      </w:r>
      <w:r w:rsidRPr="00EE6935">
        <w:rPr>
          <w:rFonts w:cstheme="minorHAnsi"/>
          <w:bCs/>
          <w:iCs/>
        </w:rPr>
        <w:t xml:space="preserve"> Corporate Strategy performance measures </w:t>
      </w:r>
      <w:r w:rsidRPr="00EE6935">
        <w:rPr>
          <w:rFonts w:cstheme="minorHAnsi"/>
          <w:bCs/>
          <w:iCs/>
        </w:rPr>
        <w:t>and 1</w:t>
      </w:r>
      <w:r w:rsidR="0014504B">
        <w:rPr>
          <w:rFonts w:cstheme="minorHAnsi"/>
          <w:bCs/>
          <w:iCs/>
        </w:rPr>
        <w:t>1</w:t>
      </w:r>
      <w:r w:rsidRPr="00EE6935">
        <w:rPr>
          <w:rFonts w:cstheme="minorHAnsi"/>
          <w:bCs/>
          <w:iCs/>
        </w:rPr>
        <w:t xml:space="preserve"> key organisational performance measures.  </w:t>
      </w:r>
    </w:p>
    <w:p w:rsidR="00B726FB" w:rsidRPr="00EE6935" w:rsidP="004B26AC" w14:paraId="0DDE2DE2" w14:textId="77777777">
      <w:pPr>
        <w:pStyle w:val="ListParagraph"/>
        <w:ind w:left="567" w:hanging="567"/>
        <w:rPr>
          <w:rFonts w:cstheme="minorHAnsi"/>
          <w:bCs/>
          <w:iCs/>
        </w:rPr>
      </w:pPr>
    </w:p>
    <w:p w:rsidR="00B726FB" w:rsidRPr="00391D06" w:rsidP="004B26AC" w14:paraId="1F92E170" w14:textId="0EF46C68">
      <w:pPr>
        <w:pStyle w:val="ListParagraph"/>
        <w:numPr>
          <w:ilvl w:val="0"/>
          <w:numId w:val="1"/>
        </w:numPr>
        <w:ind w:left="567" w:hanging="567"/>
        <w:rPr>
          <w:rFonts w:cstheme="minorHAnsi"/>
          <w:bCs/>
          <w:iCs/>
        </w:rPr>
      </w:pPr>
      <w:r w:rsidRPr="00391D06">
        <w:rPr>
          <w:rFonts w:cstheme="minorHAnsi"/>
          <w:bCs/>
          <w:iCs/>
        </w:rPr>
        <w:t>Of the 1</w:t>
      </w:r>
      <w:r w:rsidRPr="00391D06" w:rsidR="00EE6935">
        <w:rPr>
          <w:rFonts w:cstheme="minorHAnsi"/>
          <w:bCs/>
          <w:iCs/>
        </w:rPr>
        <w:t>5</w:t>
      </w:r>
      <w:r w:rsidRPr="00391D06">
        <w:rPr>
          <w:rFonts w:cstheme="minorHAnsi"/>
          <w:bCs/>
          <w:iCs/>
        </w:rPr>
        <w:t xml:space="preserve"> projects in the strategy: </w:t>
      </w:r>
      <w:r w:rsidR="004A4A67">
        <w:rPr>
          <w:rFonts w:cstheme="minorHAnsi"/>
          <w:bCs/>
          <w:iCs/>
        </w:rPr>
        <w:t>80</w:t>
      </w:r>
      <w:r w:rsidRPr="00391D06">
        <w:rPr>
          <w:rFonts w:cstheme="minorHAnsi"/>
          <w:bCs/>
          <w:iCs/>
        </w:rPr>
        <w:t>% (</w:t>
      </w:r>
      <w:r w:rsidR="004A4A67">
        <w:rPr>
          <w:rFonts w:cstheme="minorHAnsi"/>
          <w:bCs/>
          <w:iCs/>
        </w:rPr>
        <w:t>12</w:t>
      </w:r>
      <w:r w:rsidRPr="00391D06">
        <w:rPr>
          <w:rFonts w:cstheme="minorHAnsi"/>
          <w:bCs/>
          <w:iCs/>
        </w:rPr>
        <w:t xml:space="preserve">) are rated green or complete; and </w:t>
      </w:r>
      <w:r w:rsidR="004A4A67">
        <w:rPr>
          <w:rFonts w:cstheme="minorHAnsi"/>
          <w:bCs/>
          <w:iCs/>
        </w:rPr>
        <w:t>20</w:t>
      </w:r>
      <w:r w:rsidRPr="00391D06">
        <w:rPr>
          <w:rFonts w:cstheme="minorHAnsi"/>
          <w:bCs/>
          <w:iCs/>
        </w:rPr>
        <w:t xml:space="preserve">% </w:t>
      </w:r>
      <w:r w:rsidRPr="00391D06" w:rsidR="000868F4">
        <w:rPr>
          <w:rFonts w:cstheme="minorHAnsi"/>
          <w:bCs/>
          <w:iCs/>
        </w:rPr>
        <w:t>(</w:t>
      </w:r>
      <w:r w:rsidRPr="00391D06" w:rsidR="00391D06">
        <w:rPr>
          <w:rFonts w:cstheme="minorHAnsi"/>
          <w:bCs/>
          <w:iCs/>
        </w:rPr>
        <w:t>three</w:t>
      </w:r>
      <w:r w:rsidRPr="00391D06">
        <w:rPr>
          <w:rFonts w:cstheme="minorHAnsi"/>
          <w:bCs/>
          <w:iCs/>
        </w:rPr>
        <w:t xml:space="preserve">) </w:t>
      </w:r>
      <w:r w:rsidRPr="00391D06" w:rsidR="00D93010">
        <w:rPr>
          <w:rFonts w:cstheme="minorHAnsi"/>
          <w:bCs/>
          <w:iCs/>
        </w:rPr>
        <w:t>are</w:t>
      </w:r>
      <w:r w:rsidRPr="00391D06" w:rsidR="00292BEA">
        <w:rPr>
          <w:rFonts w:cstheme="minorHAnsi"/>
          <w:bCs/>
          <w:iCs/>
        </w:rPr>
        <w:t xml:space="preserve"> </w:t>
      </w:r>
      <w:r w:rsidRPr="00391D06">
        <w:rPr>
          <w:rFonts w:cstheme="minorHAnsi"/>
          <w:bCs/>
          <w:iCs/>
        </w:rPr>
        <w:t>rated amber</w:t>
      </w:r>
      <w:r w:rsidRPr="00391D06" w:rsidR="000868F4">
        <w:rPr>
          <w:rFonts w:cstheme="minorHAnsi"/>
          <w:bCs/>
          <w:iCs/>
        </w:rPr>
        <w:t xml:space="preserve">. </w:t>
      </w:r>
    </w:p>
    <w:p w:rsidR="00B726FB" w:rsidRPr="00F87D59" w:rsidP="004B26AC" w14:paraId="60DF5137" w14:textId="77777777">
      <w:pPr>
        <w:pStyle w:val="ListParagraph"/>
        <w:ind w:left="567" w:hanging="567"/>
        <w:rPr>
          <w:rFonts w:cstheme="minorHAnsi"/>
          <w:bCs/>
          <w:iCs/>
        </w:rPr>
      </w:pPr>
    </w:p>
    <w:p w:rsidR="00B726FB" w:rsidRPr="00B726FB" w:rsidP="004B26AC" w14:paraId="723B886A" w14:textId="2EA85A22">
      <w:pPr>
        <w:pStyle w:val="ListParagraph"/>
        <w:numPr>
          <w:ilvl w:val="0"/>
          <w:numId w:val="1"/>
        </w:numPr>
        <w:spacing w:after="0" w:line="240" w:lineRule="auto"/>
        <w:ind w:left="567" w:hanging="567"/>
        <w:rPr>
          <w:rFonts w:cstheme="minorHAnsi"/>
          <w:bCs/>
          <w:iCs/>
        </w:rPr>
      </w:pPr>
      <w:r w:rsidRPr="00B726FB">
        <w:rPr>
          <w:rFonts w:cstheme="minorHAnsi"/>
          <w:bCs/>
          <w:iCs/>
        </w:rPr>
        <w:t xml:space="preserve">Of the </w:t>
      </w:r>
      <w:r w:rsidR="00AE2A9B">
        <w:rPr>
          <w:rFonts w:cstheme="minorHAnsi"/>
          <w:bCs/>
          <w:iCs/>
        </w:rPr>
        <w:t>1</w:t>
      </w:r>
      <w:r w:rsidR="00102C9D">
        <w:rPr>
          <w:rFonts w:cstheme="minorHAnsi"/>
          <w:bCs/>
          <w:iCs/>
        </w:rPr>
        <w:t>8</w:t>
      </w:r>
      <w:r w:rsidR="00AE2A9B">
        <w:rPr>
          <w:rFonts w:cstheme="minorHAnsi"/>
          <w:bCs/>
          <w:iCs/>
        </w:rPr>
        <w:t xml:space="preserve"> </w:t>
      </w:r>
      <w:r w:rsidRPr="00EE6935">
        <w:rPr>
          <w:rFonts w:cstheme="minorHAnsi"/>
          <w:bCs/>
          <w:iCs/>
        </w:rPr>
        <w:t>performance indicators</w:t>
      </w:r>
      <w:r w:rsidRPr="003931AA">
        <w:rPr>
          <w:rFonts w:cstheme="minorHAnsi"/>
          <w:bCs/>
          <w:iCs/>
        </w:rPr>
        <w:t xml:space="preserve"> </w:t>
      </w:r>
      <w:r w:rsidRPr="00B726FB">
        <w:rPr>
          <w:rFonts w:cstheme="minorHAnsi"/>
          <w:bCs/>
          <w:iCs/>
        </w:rPr>
        <w:t>used to monitor the Corporate Strategy,</w:t>
      </w:r>
      <w:r w:rsidRPr="00434F99">
        <w:rPr>
          <w:rFonts w:cstheme="minorHAnsi"/>
          <w:bCs/>
          <w:iCs/>
        </w:rPr>
        <w:t xml:space="preserve"> </w:t>
      </w:r>
      <w:r w:rsidR="00361A26">
        <w:rPr>
          <w:rFonts w:cstheme="minorHAnsi"/>
          <w:bCs/>
          <w:iCs/>
        </w:rPr>
        <w:t>10</w:t>
      </w:r>
      <w:r w:rsidRPr="00434F99">
        <w:rPr>
          <w:rFonts w:cstheme="minorHAnsi"/>
          <w:bCs/>
          <w:iCs/>
        </w:rPr>
        <w:t xml:space="preserve"> </w:t>
      </w:r>
      <w:r w:rsidRPr="00B726FB">
        <w:rPr>
          <w:rFonts w:cstheme="minorHAnsi"/>
          <w:bCs/>
          <w:iCs/>
        </w:rPr>
        <w:t xml:space="preserve">can be reported at the </w:t>
      </w:r>
      <w:r w:rsidRPr="003931AA">
        <w:rPr>
          <w:rFonts w:cstheme="minorHAnsi"/>
          <w:bCs/>
          <w:iCs/>
        </w:rPr>
        <w:t xml:space="preserve">end of the quarter. Of those with targets, </w:t>
      </w:r>
      <w:r w:rsidR="001B026A">
        <w:rPr>
          <w:rFonts w:cstheme="minorHAnsi"/>
          <w:bCs/>
          <w:iCs/>
        </w:rPr>
        <w:t>71</w:t>
      </w:r>
      <w:r w:rsidRPr="001B026A">
        <w:rPr>
          <w:rFonts w:cstheme="minorHAnsi"/>
          <w:bCs/>
          <w:iCs/>
        </w:rPr>
        <w:t>% (</w:t>
      </w:r>
      <w:r w:rsidRPr="001B026A" w:rsidR="00572E9B">
        <w:rPr>
          <w:rFonts w:cstheme="minorHAnsi"/>
          <w:bCs/>
          <w:iCs/>
        </w:rPr>
        <w:t>five</w:t>
      </w:r>
      <w:r w:rsidRPr="001B026A">
        <w:rPr>
          <w:rFonts w:cstheme="minorHAnsi"/>
          <w:bCs/>
          <w:iCs/>
        </w:rPr>
        <w:t xml:space="preserve">) </w:t>
      </w:r>
      <w:r w:rsidRPr="003931AA">
        <w:rPr>
          <w:rFonts w:cstheme="minorHAnsi"/>
          <w:bCs/>
          <w:iCs/>
        </w:rPr>
        <w:t xml:space="preserve">are performing better than target; </w:t>
      </w:r>
      <w:r w:rsidRPr="001B026A" w:rsidR="001B026A">
        <w:rPr>
          <w:rFonts w:cstheme="minorHAnsi"/>
          <w:bCs/>
          <w:iCs/>
        </w:rPr>
        <w:t>29</w:t>
      </w:r>
      <w:r w:rsidRPr="001B026A">
        <w:rPr>
          <w:rFonts w:cstheme="minorHAnsi"/>
          <w:bCs/>
          <w:iCs/>
        </w:rPr>
        <w:t xml:space="preserve">% </w:t>
      </w:r>
      <w:r w:rsidRPr="003931AA">
        <w:rPr>
          <w:rFonts w:cstheme="minorHAnsi"/>
          <w:bCs/>
          <w:iCs/>
        </w:rPr>
        <w:t>(</w:t>
      </w:r>
      <w:r w:rsidRPr="001B026A" w:rsidR="001B026A">
        <w:rPr>
          <w:rFonts w:cstheme="minorHAnsi"/>
          <w:bCs/>
          <w:iCs/>
        </w:rPr>
        <w:t>two</w:t>
      </w:r>
      <w:r w:rsidRPr="003931AA">
        <w:rPr>
          <w:rFonts w:cstheme="minorHAnsi"/>
          <w:bCs/>
          <w:iCs/>
        </w:rPr>
        <w:t>)</w:t>
      </w:r>
      <w:r w:rsidRPr="003931AA" w:rsidR="001E7EAC">
        <w:rPr>
          <w:rFonts w:cstheme="minorHAnsi"/>
          <w:bCs/>
          <w:iCs/>
        </w:rPr>
        <w:t xml:space="preserve"> </w:t>
      </w:r>
      <w:r w:rsidR="001B026A">
        <w:rPr>
          <w:rFonts w:cstheme="minorHAnsi"/>
          <w:bCs/>
          <w:iCs/>
        </w:rPr>
        <w:t>are performing</w:t>
      </w:r>
      <w:r w:rsidRPr="003931AA" w:rsidR="00022EBB">
        <w:rPr>
          <w:rFonts w:cstheme="minorHAnsi"/>
          <w:bCs/>
          <w:iCs/>
        </w:rPr>
        <w:t xml:space="preserve"> </w:t>
      </w:r>
      <w:r w:rsidRPr="003931AA">
        <w:rPr>
          <w:rFonts w:cstheme="minorHAnsi"/>
          <w:bCs/>
          <w:iCs/>
        </w:rPr>
        <w:t xml:space="preserve">worse than target and outside the </w:t>
      </w:r>
      <w:r w:rsidR="001B026A">
        <w:rPr>
          <w:rFonts w:cstheme="minorHAnsi"/>
          <w:bCs/>
          <w:iCs/>
        </w:rPr>
        <w:t xml:space="preserve">permitted </w:t>
      </w:r>
      <w:r w:rsidRPr="003931AA">
        <w:rPr>
          <w:rFonts w:cstheme="minorHAnsi"/>
          <w:bCs/>
          <w:iCs/>
        </w:rPr>
        <w:t xml:space="preserve">5% tolerance. </w:t>
      </w:r>
      <w:r w:rsidRPr="001B026A">
        <w:rPr>
          <w:rFonts w:cstheme="minorHAnsi"/>
          <w:bCs/>
          <w:iCs/>
        </w:rPr>
        <w:t>O</w:t>
      </w:r>
      <w:r w:rsidRPr="001B026A" w:rsidR="00022EBB">
        <w:rPr>
          <w:rFonts w:cstheme="minorHAnsi"/>
          <w:bCs/>
          <w:iCs/>
        </w:rPr>
        <w:t xml:space="preserve">ne </w:t>
      </w:r>
      <w:r w:rsidRPr="001B026A">
        <w:rPr>
          <w:rFonts w:cstheme="minorHAnsi"/>
          <w:bCs/>
          <w:iCs/>
        </w:rPr>
        <w:t xml:space="preserve">has </w:t>
      </w:r>
      <w:r w:rsidRPr="001B026A" w:rsidR="001E7EAC">
        <w:rPr>
          <w:rFonts w:cstheme="minorHAnsi"/>
          <w:bCs/>
          <w:iCs/>
        </w:rPr>
        <w:t xml:space="preserve">no target and </w:t>
      </w:r>
      <w:r w:rsidRPr="001B026A" w:rsidR="00022EBB">
        <w:rPr>
          <w:rFonts w:cstheme="minorHAnsi"/>
          <w:bCs/>
          <w:iCs/>
        </w:rPr>
        <w:t xml:space="preserve">is </w:t>
      </w:r>
      <w:r w:rsidRPr="001B026A" w:rsidR="001E7EAC">
        <w:rPr>
          <w:rFonts w:cstheme="minorHAnsi"/>
          <w:bCs/>
          <w:iCs/>
        </w:rPr>
        <w:t xml:space="preserve">monitored against </w:t>
      </w:r>
      <w:r w:rsidRPr="001B026A" w:rsidR="00EA54B0">
        <w:rPr>
          <w:rFonts w:cstheme="minorHAnsi"/>
          <w:bCs/>
          <w:iCs/>
        </w:rPr>
        <w:t>its</w:t>
      </w:r>
      <w:r w:rsidRPr="001B026A" w:rsidR="005A78FA">
        <w:rPr>
          <w:rFonts w:cstheme="minorHAnsi"/>
          <w:bCs/>
          <w:iCs/>
        </w:rPr>
        <w:t xml:space="preserve"> </w:t>
      </w:r>
      <w:r w:rsidRPr="001B026A" w:rsidR="001E7EAC">
        <w:rPr>
          <w:rFonts w:cstheme="minorHAnsi"/>
          <w:bCs/>
          <w:iCs/>
        </w:rPr>
        <w:t>trend,</w:t>
      </w:r>
      <w:r w:rsidRPr="001B026A">
        <w:rPr>
          <w:rFonts w:cstheme="minorHAnsi"/>
          <w:bCs/>
          <w:iCs/>
        </w:rPr>
        <w:t xml:space="preserve"> and</w:t>
      </w:r>
      <w:r w:rsidRPr="001B026A" w:rsidR="00E162DE">
        <w:rPr>
          <w:rFonts w:cstheme="minorHAnsi"/>
          <w:bCs/>
          <w:iCs/>
        </w:rPr>
        <w:t xml:space="preserve"> </w:t>
      </w:r>
      <w:r w:rsidRPr="001B026A" w:rsidR="00572E9B">
        <w:rPr>
          <w:rFonts w:cstheme="minorHAnsi"/>
          <w:bCs/>
          <w:iCs/>
        </w:rPr>
        <w:t xml:space="preserve">two </w:t>
      </w:r>
      <w:r w:rsidR="00572E9B">
        <w:rPr>
          <w:rFonts w:cstheme="minorHAnsi"/>
          <w:bCs/>
          <w:iCs/>
        </w:rPr>
        <w:t>are</w:t>
      </w:r>
      <w:r w:rsidRPr="00B726FB" w:rsidR="005A78FA">
        <w:rPr>
          <w:rFonts w:cstheme="minorHAnsi"/>
          <w:bCs/>
          <w:iCs/>
        </w:rPr>
        <w:t xml:space="preserve"> </w:t>
      </w:r>
      <w:r w:rsidRPr="00B726FB">
        <w:rPr>
          <w:rFonts w:cstheme="minorHAnsi"/>
          <w:bCs/>
          <w:iCs/>
        </w:rPr>
        <w:t>being baselined.</w:t>
      </w:r>
      <w:r w:rsidR="00BC19B8">
        <w:rPr>
          <w:rFonts w:cstheme="minorHAnsi"/>
          <w:bCs/>
          <w:iCs/>
        </w:rPr>
        <w:t xml:space="preserve"> </w:t>
      </w:r>
      <w:r>
        <w:rPr>
          <w:rFonts w:cstheme="minorHAnsi"/>
          <w:bCs/>
          <w:iCs/>
        </w:rPr>
        <w:t>(</w:t>
      </w:r>
      <w:r w:rsidR="00BC19B8">
        <w:rPr>
          <w:rFonts w:cstheme="minorHAnsi"/>
          <w:bCs/>
          <w:iCs/>
        </w:rPr>
        <w:t xml:space="preserve">Resident survey indicators </w:t>
      </w:r>
      <w:r>
        <w:rPr>
          <w:rFonts w:cstheme="minorHAnsi"/>
          <w:bCs/>
          <w:iCs/>
        </w:rPr>
        <w:t>are</w:t>
      </w:r>
      <w:r w:rsidR="00BC19B8">
        <w:rPr>
          <w:rFonts w:cstheme="minorHAnsi"/>
          <w:bCs/>
          <w:iCs/>
        </w:rPr>
        <w:t xml:space="preserve"> excluded from the total number of indicators as the</w:t>
      </w:r>
      <w:r>
        <w:rPr>
          <w:rFonts w:cstheme="minorHAnsi"/>
          <w:bCs/>
          <w:iCs/>
        </w:rPr>
        <w:t>s</w:t>
      </w:r>
      <w:r w:rsidR="00BC19B8">
        <w:rPr>
          <w:rFonts w:cstheme="minorHAnsi"/>
          <w:bCs/>
          <w:iCs/>
        </w:rPr>
        <w:t>e are reported biennially and have been reported in quarter three</w:t>
      </w:r>
      <w:r>
        <w:rPr>
          <w:rFonts w:cstheme="minorHAnsi"/>
          <w:bCs/>
          <w:iCs/>
        </w:rPr>
        <w:t xml:space="preserve"> (2021/22)</w:t>
      </w:r>
      <w:r w:rsidR="00BC19B8">
        <w:rPr>
          <w:rFonts w:cstheme="minorHAnsi"/>
          <w:bCs/>
          <w:iCs/>
        </w:rPr>
        <w:t xml:space="preserve">. </w:t>
      </w:r>
    </w:p>
    <w:p w:rsidR="00B726FB" w:rsidRPr="00B726FB" w:rsidP="004B26AC" w14:paraId="70ED37C0" w14:textId="77777777">
      <w:pPr>
        <w:pStyle w:val="ListParagraph"/>
        <w:spacing w:after="0" w:line="240" w:lineRule="auto"/>
        <w:ind w:left="567" w:hanging="567"/>
        <w:rPr>
          <w:rFonts w:cstheme="minorHAnsi"/>
          <w:bCs/>
          <w:iCs/>
        </w:rPr>
      </w:pPr>
    </w:p>
    <w:p w:rsidR="00B726FB" w:rsidRPr="00341E9F" w:rsidP="004B26AC" w14:paraId="5780BAA8" w14:textId="0BE2FC08">
      <w:pPr>
        <w:pStyle w:val="ListParagraph"/>
        <w:numPr>
          <w:ilvl w:val="0"/>
          <w:numId w:val="1"/>
        </w:numPr>
        <w:spacing w:after="0" w:line="240" w:lineRule="auto"/>
        <w:ind w:left="567" w:hanging="567"/>
        <w:rPr>
          <w:rFonts w:cstheme="minorHAnsi"/>
          <w:bCs/>
          <w:iCs/>
        </w:rPr>
      </w:pPr>
      <w:r w:rsidRPr="00B726FB">
        <w:rPr>
          <w:rFonts w:cstheme="minorHAnsi"/>
          <w:bCs/>
          <w:iCs/>
        </w:rPr>
        <w:t xml:space="preserve">Of </w:t>
      </w:r>
      <w:r w:rsidRPr="00341E9F">
        <w:rPr>
          <w:rFonts w:cstheme="minorHAnsi"/>
          <w:bCs/>
          <w:iCs/>
        </w:rPr>
        <w:t>the 1</w:t>
      </w:r>
      <w:r w:rsidR="0014504B">
        <w:rPr>
          <w:rFonts w:cstheme="minorHAnsi"/>
          <w:bCs/>
          <w:iCs/>
        </w:rPr>
        <w:t>1</w:t>
      </w:r>
      <w:r w:rsidRPr="00341E9F">
        <w:rPr>
          <w:rFonts w:cstheme="minorHAnsi"/>
          <w:bCs/>
          <w:iCs/>
        </w:rPr>
        <w:t xml:space="preserve"> key organisational performance measures</w:t>
      </w:r>
      <w:r>
        <w:rPr>
          <w:rFonts w:cstheme="minorHAnsi"/>
          <w:bCs/>
          <w:iCs/>
        </w:rPr>
        <w:t>,</w:t>
      </w:r>
      <w:r w:rsidRPr="00341E9F">
        <w:rPr>
          <w:rFonts w:cstheme="minorHAnsi"/>
          <w:bCs/>
          <w:iCs/>
        </w:rPr>
        <w:t xml:space="preserve"> </w:t>
      </w:r>
      <w:r w:rsidR="0014504B">
        <w:rPr>
          <w:rFonts w:cstheme="minorHAnsi"/>
          <w:bCs/>
          <w:iCs/>
        </w:rPr>
        <w:t>all</w:t>
      </w:r>
      <w:r w:rsidRPr="00341E9F">
        <w:rPr>
          <w:rFonts w:cstheme="minorHAnsi"/>
          <w:bCs/>
          <w:iCs/>
        </w:rPr>
        <w:t xml:space="preserve"> can </w:t>
      </w:r>
      <w:r w:rsidRPr="00046AAE">
        <w:rPr>
          <w:rFonts w:cstheme="minorHAnsi"/>
          <w:bCs/>
          <w:iCs/>
        </w:rPr>
        <w:t>be reported at the end of the quarter.</w:t>
      </w:r>
      <w:r w:rsidRPr="00046AAE" w:rsidR="009B5907">
        <w:rPr>
          <w:rFonts w:cstheme="minorHAnsi"/>
          <w:bCs/>
          <w:iCs/>
        </w:rPr>
        <w:t xml:space="preserve"> </w:t>
      </w:r>
      <w:r w:rsidR="00D745DC">
        <w:rPr>
          <w:rFonts w:cstheme="minorHAnsi"/>
          <w:bCs/>
          <w:iCs/>
        </w:rPr>
        <w:t>6</w:t>
      </w:r>
      <w:r w:rsidR="003B3C0F">
        <w:rPr>
          <w:rFonts w:cstheme="minorHAnsi"/>
          <w:bCs/>
          <w:iCs/>
        </w:rPr>
        <w:t>4</w:t>
      </w:r>
      <w:r w:rsidRPr="00046AAE" w:rsidR="009B5907">
        <w:rPr>
          <w:rFonts w:cstheme="minorHAnsi"/>
          <w:bCs/>
          <w:iCs/>
        </w:rPr>
        <w:t>%</w:t>
      </w:r>
      <w:r w:rsidRPr="00046AAE">
        <w:rPr>
          <w:rFonts w:cstheme="minorHAnsi"/>
          <w:bCs/>
          <w:iCs/>
        </w:rPr>
        <w:t xml:space="preserve"> </w:t>
      </w:r>
      <w:r w:rsidRPr="00046AAE" w:rsidR="009B5907">
        <w:rPr>
          <w:rFonts w:cstheme="minorHAnsi"/>
          <w:bCs/>
          <w:iCs/>
        </w:rPr>
        <w:t>(</w:t>
      </w:r>
      <w:r w:rsidR="00D745DC">
        <w:rPr>
          <w:rFonts w:cstheme="minorHAnsi"/>
          <w:bCs/>
          <w:iCs/>
        </w:rPr>
        <w:t>seven</w:t>
      </w:r>
      <w:r w:rsidRPr="00046AAE" w:rsidR="009B5907">
        <w:rPr>
          <w:rFonts w:cstheme="minorHAnsi"/>
          <w:bCs/>
          <w:iCs/>
        </w:rPr>
        <w:t>)</w:t>
      </w:r>
      <w:r w:rsidRPr="00046AAE">
        <w:rPr>
          <w:rFonts w:cstheme="minorHAnsi"/>
          <w:bCs/>
          <w:iCs/>
        </w:rPr>
        <w:t xml:space="preserve"> are performing better than target;</w:t>
      </w:r>
      <w:r w:rsidR="00361A26">
        <w:rPr>
          <w:rFonts w:cstheme="minorHAnsi"/>
          <w:bCs/>
          <w:iCs/>
        </w:rPr>
        <w:t xml:space="preserve"> </w:t>
      </w:r>
      <w:r w:rsidRPr="00F14D05" w:rsidR="00F14D05">
        <w:rPr>
          <w:rFonts w:cstheme="minorHAnsi"/>
          <w:bCs/>
          <w:iCs/>
        </w:rPr>
        <w:t>9</w:t>
      </w:r>
      <w:r w:rsidRPr="003931AA" w:rsidR="00361A26">
        <w:rPr>
          <w:rFonts w:cstheme="minorHAnsi"/>
          <w:bCs/>
          <w:iCs/>
        </w:rPr>
        <w:t>% (</w:t>
      </w:r>
      <w:r w:rsidRPr="00361A26" w:rsidR="00361A26">
        <w:rPr>
          <w:rFonts w:cstheme="minorHAnsi"/>
          <w:bCs/>
          <w:iCs/>
        </w:rPr>
        <w:t>one</w:t>
      </w:r>
      <w:r w:rsidRPr="003931AA" w:rsidR="00361A26">
        <w:rPr>
          <w:rFonts w:cstheme="minorHAnsi"/>
          <w:bCs/>
          <w:iCs/>
        </w:rPr>
        <w:t xml:space="preserve">) </w:t>
      </w:r>
      <w:r w:rsidR="00361A26">
        <w:rPr>
          <w:rFonts w:cstheme="minorHAnsi"/>
          <w:bCs/>
          <w:iCs/>
        </w:rPr>
        <w:t>is</w:t>
      </w:r>
      <w:r w:rsidRPr="003931AA" w:rsidR="00361A26">
        <w:rPr>
          <w:rFonts w:cstheme="minorHAnsi"/>
          <w:bCs/>
          <w:iCs/>
        </w:rPr>
        <w:t xml:space="preserve"> performing worse tha</w:t>
      </w:r>
      <w:r w:rsidR="00361A26">
        <w:rPr>
          <w:rFonts w:cstheme="minorHAnsi"/>
          <w:bCs/>
          <w:iCs/>
        </w:rPr>
        <w:t>n</w:t>
      </w:r>
      <w:r w:rsidRPr="003931AA" w:rsidR="00361A26">
        <w:rPr>
          <w:rFonts w:cstheme="minorHAnsi"/>
          <w:bCs/>
          <w:iCs/>
        </w:rPr>
        <w:t xml:space="preserve"> target but within a 5% tolerance of the target;</w:t>
      </w:r>
      <w:r w:rsidRPr="00046AAE">
        <w:rPr>
          <w:rFonts w:cstheme="minorHAnsi"/>
          <w:bCs/>
          <w:iCs/>
        </w:rPr>
        <w:t xml:space="preserve"> and </w:t>
      </w:r>
      <w:r w:rsidR="003B3C0F">
        <w:rPr>
          <w:rFonts w:cstheme="minorHAnsi"/>
          <w:bCs/>
          <w:iCs/>
        </w:rPr>
        <w:t>27</w:t>
      </w:r>
      <w:r w:rsidRPr="00046AAE" w:rsidR="009B5907">
        <w:rPr>
          <w:rFonts w:cstheme="minorHAnsi"/>
          <w:bCs/>
          <w:iCs/>
        </w:rPr>
        <w:t>% (</w:t>
      </w:r>
      <w:r w:rsidR="00D745DC">
        <w:rPr>
          <w:rFonts w:cstheme="minorHAnsi"/>
          <w:bCs/>
          <w:iCs/>
        </w:rPr>
        <w:t>three</w:t>
      </w:r>
      <w:r w:rsidRPr="00046AAE" w:rsidR="009B5907">
        <w:rPr>
          <w:rFonts w:cstheme="minorHAnsi"/>
          <w:bCs/>
          <w:iCs/>
        </w:rPr>
        <w:t>)</w:t>
      </w:r>
      <w:r w:rsidRPr="00046AAE" w:rsidR="003931AA">
        <w:rPr>
          <w:rFonts w:cstheme="minorHAnsi"/>
          <w:bCs/>
          <w:iCs/>
        </w:rPr>
        <w:t xml:space="preserve"> </w:t>
      </w:r>
      <w:r w:rsidRPr="00341E9F" w:rsidR="00341E9F">
        <w:rPr>
          <w:rFonts w:cstheme="minorHAnsi"/>
          <w:bCs/>
          <w:iCs/>
        </w:rPr>
        <w:t>are</w:t>
      </w:r>
      <w:r w:rsidRPr="00341E9F">
        <w:rPr>
          <w:rFonts w:cstheme="minorHAnsi"/>
          <w:bCs/>
          <w:iCs/>
        </w:rPr>
        <w:t xml:space="preserve"> </w:t>
      </w:r>
      <w:r w:rsidR="001B026A">
        <w:rPr>
          <w:rFonts w:cstheme="minorHAnsi"/>
          <w:bCs/>
          <w:iCs/>
        </w:rPr>
        <w:t xml:space="preserve">performing </w:t>
      </w:r>
      <w:r w:rsidRPr="00341E9F">
        <w:rPr>
          <w:rFonts w:cstheme="minorHAnsi"/>
          <w:bCs/>
          <w:iCs/>
        </w:rPr>
        <w:t xml:space="preserve">worse than target and outside the </w:t>
      </w:r>
      <w:r>
        <w:rPr>
          <w:rFonts w:cstheme="minorHAnsi"/>
          <w:bCs/>
          <w:iCs/>
        </w:rPr>
        <w:t xml:space="preserve">permitted </w:t>
      </w:r>
      <w:r w:rsidRPr="00341E9F">
        <w:rPr>
          <w:rFonts w:cstheme="minorHAnsi"/>
          <w:bCs/>
          <w:iCs/>
        </w:rPr>
        <w:t xml:space="preserve">5% tolerance. </w:t>
      </w:r>
    </w:p>
    <w:p w:rsidR="001F409C" w:rsidRPr="001F409C" w:rsidP="001F409C" w14:paraId="0085AD41" w14:textId="77777777">
      <w:pPr>
        <w:pStyle w:val="Heading2"/>
        <w:spacing w:before="0" w:beforeAutospacing="0" w:after="0" w:afterAutospacing="0"/>
        <w:rPr>
          <w:rFonts w:asciiTheme="minorHAnsi" w:eastAsiaTheme="minorHAnsi" w:hAnsiTheme="minorHAnsi" w:cstheme="minorHAnsi"/>
          <w:b w:val="0"/>
          <w:iCs/>
          <w:sz w:val="22"/>
          <w:szCs w:val="22"/>
          <w:lang w:eastAsia="en-US"/>
        </w:rPr>
      </w:pPr>
    </w:p>
    <w:p w:rsidR="000179AF" w:rsidRPr="00ED4FF1" w:rsidP="00ED4FF1" w14:paraId="23545182"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CB0680" w:rsidP="004B26AC" w14:paraId="74C7B939" w14:textId="77777777">
      <w:pPr>
        <w:pStyle w:val="ListParagraph"/>
        <w:numPr>
          <w:ilvl w:val="0"/>
          <w:numId w:val="1"/>
        </w:numPr>
        <w:spacing w:after="0" w:line="240" w:lineRule="auto"/>
        <w:ind w:left="567" w:hanging="567"/>
        <w:rPr>
          <w:rFonts w:cstheme="minorHAnsi"/>
          <w:bCs/>
          <w:iCs/>
        </w:rPr>
      </w:pPr>
      <w:r w:rsidRPr="00CB0680">
        <w:rPr>
          <w:rFonts w:cstheme="minorHAnsi"/>
          <w:bCs/>
          <w:iCs/>
        </w:rPr>
        <w:t xml:space="preserve">At </w:t>
      </w:r>
      <w:r w:rsidR="00E00DAC">
        <w:rPr>
          <w:rFonts w:cstheme="minorHAnsi"/>
          <w:bCs/>
          <w:iCs/>
        </w:rPr>
        <w:t>c</w:t>
      </w:r>
      <w:r w:rsidRPr="00CB0680">
        <w:rPr>
          <w:rFonts w:cstheme="minorHAnsi"/>
          <w:bCs/>
          <w:iCs/>
        </w:rPr>
        <w:t xml:space="preserve">ouncil on </w:t>
      </w:r>
      <w:r>
        <w:rPr>
          <w:rFonts w:cstheme="minorHAnsi"/>
          <w:bCs/>
          <w:iCs/>
        </w:rPr>
        <w:t>24</w:t>
      </w:r>
      <w:r w:rsidRPr="00CB0680">
        <w:rPr>
          <w:rFonts w:cstheme="minorHAnsi"/>
          <w:bCs/>
          <w:iCs/>
        </w:rPr>
        <w:t xml:space="preserve">th </w:t>
      </w:r>
      <w:r>
        <w:rPr>
          <w:rFonts w:cstheme="minorHAnsi"/>
          <w:bCs/>
          <w:iCs/>
        </w:rPr>
        <w:t>November</w:t>
      </w:r>
      <w:r w:rsidRPr="00CB0680">
        <w:rPr>
          <w:rFonts w:cstheme="minorHAnsi"/>
          <w:bCs/>
          <w:iCs/>
        </w:rPr>
        <w:t xml:space="preserve"> 202</w:t>
      </w:r>
      <w:r>
        <w:rPr>
          <w:rFonts w:cstheme="minorHAnsi"/>
          <w:bCs/>
          <w:iCs/>
        </w:rPr>
        <w:t>1</w:t>
      </w:r>
      <w:r w:rsidRPr="00CB0680">
        <w:rPr>
          <w:rFonts w:cstheme="minorHAnsi"/>
          <w:bCs/>
          <w:iCs/>
        </w:rPr>
        <w:t>, the Corporate Strategy was updated and refreshed</w:t>
      </w:r>
      <w:r>
        <w:rPr>
          <w:rFonts w:cstheme="minorHAnsi"/>
          <w:bCs/>
          <w:iCs/>
        </w:rPr>
        <w:t xml:space="preserve"> to</w:t>
      </w:r>
      <w:r w:rsidRPr="00CB0680">
        <w:rPr>
          <w:rFonts w:cstheme="minorHAnsi"/>
          <w:bCs/>
          <w:iCs/>
        </w:rPr>
        <w:t xml:space="preserve"> ensure that the strategy</w:t>
      </w:r>
      <w:r>
        <w:rPr>
          <w:rFonts w:cstheme="minorHAnsi"/>
          <w:bCs/>
          <w:iCs/>
        </w:rPr>
        <w:t xml:space="preserve"> </w:t>
      </w:r>
      <w:r w:rsidRPr="00CB0680">
        <w:rPr>
          <w:rFonts w:cstheme="minorHAnsi"/>
          <w:bCs/>
          <w:iCs/>
        </w:rPr>
        <w:t xml:space="preserve">remained fit for purpose </w:t>
      </w:r>
      <w:r>
        <w:rPr>
          <w:rFonts w:cstheme="minorHAnsi"/>
          <w:bCs/>
          <w:iCs/>
        </w:rPr>
        <w:t>and responsive to the ne</w:t>
      </w:r>
      <w:r>
        <w:rPr>
          <w:rFonts w:cstheme="minorHAnsi"/>
          <w:bCs/>
          <w:iCs/>
        </w:rPr>
        <w:t>eds of the borough.</w:t>
      </w:r>
      <w:r w:rsidRPr="00CB0680">
        <w:rPr>
          <w:rFonts w:cstheme="minorHAnsi"/>
          <w:bCs/>
          <w:iCs/>
        </w:rPr>
        <w:cr/>
      </w:r>
    </w:p>
    <w:p w:rsidR="00C66797" w:rsidRPr="00F87D59" w:rsidP="004B26AC" w14:paraId="2D19B29C" w14:textId="77777777">
      <w:pPr>
        <w:numPr>
          <w:ilvl w:val="0"/>
          <w:numId w:val="1"/>
        </w:numPr>
        <w:spacing w:after="0" w:line="240" w:lineRule="auto"/>
        <w:ind w:left="567" w:hanging="567"/>
        <w:contextualSpacing/>
        <w:rPr>
          <w:rFonts w:ascii="Arial" w:eastAsia="Calibri" w:hAnsi="Arial" w:cs="Times New Roman"/>
        </w:rPr>
      </w:pPr>
      <w:r w:rsidRPr="00F87D59">
        <w:rPr>
          <w:rFonts w:ascii="Arial" w:eastAsia="Calibri" w:hAnsi="Arial" w:cs="Times New Roman"/>
        </w:rPr>
        <w:t>The four priorities identified in the strategy are:</w:t>
      </w:r>
    </w:p>
    <w:p w:rsidR="00C66797" w:rsidRPr="00F87D59" w:rsidP="00392FA0" w14:paraId="4DE5E64F" w14:textId="77777777">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An exemplary council,</w:t>
      </w:r>
    </w:p>
    <w:p w:rsidR="00C66797" w:rsidRPr="00F87D59" w:rsidP="00392FA0" w14:paraId="07C14429" w14:textId="77777777">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Thriving communities,</w:t>
      </w:r>
    </w:p>
    <w:p w:rsidR="00C66797" w:rsidRPr="00F87D59" w:rsidP="00392FA0" w14:paraId="1C609C1C" w14:textId="77777777">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A fair local economy that works for everyone,</w:t>
      </w:r>
    </w:p>
    <w:p w:rsidR="00C66797" w:rsidRPr="00F87D59" w:rsidP="00392FA0" w14:paraId="41518F06" w14:textId="77777777">
      <w:pPr>
        <w:numPr>
          <w:ilvl w:val="0"/>
          <w:numId w:val="2"/>
        </w:numPr>
        <w:spacing w:after="0" w:line="240" w:lineRule="auto"/>
        <w:contextualSpacing/>
        <w:rPr>
          <w:rFonts w:ascii="Arial" w:eastAsia="Calibri" w:hAnsi="Arial" w:cs="Times New Roman"/>
        </w:rPr>
      </w:pPr>
      <w:r w:rsidRPr="00F87D59">
        <w:rPr>
          <w:rFonts w:ascii="Arial" w:eastAsia="Calibri" w:hAnsi="Arial" w:cs="Times New Roman"/>
        </w:rPr>
        <w:t>Good homes, green spaces, healthy places.</w:t>
      </w:r>
    </w:p>
    <w:p w:rsidR="00C66797" w:rsidRPr="00F87D59" w:rsidP="00C66797" w14:paraId="70E8C380" w14:textId="77777777">
      <w:pPr>
        <w:spacing w:after="0" w:line="240" w:lineRule="auto"/>
        <w:ind w:left="720"/>
        <w:jc w:val="both"/>
        <w:rPr>
          <w:rFonts w:cstheme="minorHAnsi"/>
          <w:bCs/>
          <w:i/>
        </w:rPr>
      </w:pPr>
    </w:p>
    <w:p w:rsidR="00C66797" w:rsidRPr="00F87D59" w:rsidP="004B26AC" w14:paraId="2CA0FC0A" w14:textId="7499AA2E">
      <w:pPr>
        <w:pStyle w:val="ListParagraph"/>
        <w:numPr>
          <w:ilvl w:val="0"/>
          <w:numId w:val="1"/>
        </w:numPr>
        <w:spacing w:after="0" w:line="240" w:lineRule="auto"/>
        <w:ind w:left="567" w:hanging="567"/>
        <w:rPr>
          <w:rFonts w:ascii="Arial" w:eastAsia="Calibri" w:hAnsi="Arial" w:cs="Times New Roman"/>
        </w:rPr>
      </w:pPr>
      <w:r w:rsidRPr="00F87D59">
        <w:rPr>
          <w:rFonts w:ascii="Arial" w:eastAsia="Calibri" w:hAnsi="Arial" w:cs="Times New Roman"/>
        </w:rPr>
        <w:t>Activity and resources are targeted towards 1</w:t>
      </w:r>
      <w:r w:rsidR="00EE6935">
        <w:rPr>
          <w:rFonts w:ascii="Arial" w:eastAsia="Calibri" w:hAnsi="Arial" w:cs="Times New Roman"/>
        </w:rPr>
        <w:t>5</w:t>
      </w:r>
      <w:r w:rsidRPr="00F87D59">
        <w:rPr>
          <w:rFonts w:ascii="Arial" w:eastAsia="Calibri" w:hAnsi="Arial" w:cs="Times New Roman"/>
        </w:rPr>
        <w:t xml:space="preserve"> priority projects which are delivered over a period of 12-18 months and measured using 2</w:t>
      </w:r>
      <w:r w:rsidR="00EE6935">
        <w:rPr>
          <w:rFonts w:ascii="Arial" w:eastAsia="Calibri" w:hAnsi="Arial" w:cs="Times New Roman"/>
        </w:rPr>
        <w:t>7</w:t>
      </w:r>
      <w:r w:rsidRPr="00F87D59">
        <w:rPr>
          <w:rFonts w:ascii="Arial" w:eastAsia="Calibri" w:hAnsi="Arial" w:cs="Times New Roman"/>
        </w:rPr>
        <w:t xml:space="preserve"> performance indicators. This report provides the status of the projects and measures at the end of quarter </w:t>
      </w:r>
      <w:r w:rsidR="00057CD6">
        <w:rPr>
          <w:rFonts w:ascii="Arial" w:eastAsia="Calibri" w:hAnsi="Arial" w:cs="Times New Roman"/>
        </w:rPr>
        <w:t>two</w:t>
      </w:r>
      <w:r>
        <w:rPr>
          <w:rFonts w:ascii="Arial" w:eastAsia="Calibri" w:hAnsi="Arial" w:cs="Times New Roman"/>
        </w:rPr>
        <w:t>, 2022-23</w:t>
      </w:r>
      <w:r w:rsidRPr="00F87D59">
        <w:rPr>
          <w:rFonts w:ascii="Arial" w:eastAsia="Calibri" w:hAnsi="Arial" w:cs="Times New Roman"/>
        </w:rPr>
        <w:t>.</w:t>
      </w:r>
    </w:p>
    <w:p w:rsidR="00C66797" w:rsidRPr="00F87D59" w:rsidP="004B26AC" w14:paraId="36F1CCE5" w14:textId="77777777">
      <w:pPr>
        <w:spacing w:after="0" w:line="240" w:lineRule="auto"/>
        <w:ind w:left="567" w:hanging="567"/>
        <w:jc w:val="both"/>
        <w:rPr>
          <w:rFonts w:cstheme="minorHAnsi"/>
          <w:bCs/>
          <w:i/>
        </w:rPr>
      </w:pPr>
    </w:p>
    <w:p w:rsidR="00C66797" w:rsidP="004B26AC" w14:paraId="754E4F0B" w14:textId="77777777">
      <w:pPr>
        <w:numPr>
          <w:ilvl w:val="0"/>
          <w:numId w:val="1"/>
        </w:numPr>
        <w:spacing w:after="0" w:line="240" w:lineRule="auto"/>
        <w:ind w:left="567" w:hanging="567"/>
        <w:contextualSpacing/>
        <w:rPr>
          <w:rFonts w:ascii="Arial" w:eastAsia="Calibri" w:hAnsi="Arial" w:cs="Times New Roman"/>
        </w:rPr>
      </w:pPr>
      <w:r w:rsidRPr="00F87D59">
        <w:rPr>
          <w:rFonts w:ascii="Arial" w:eastAsia="Calibri" w:hAnsi="Arial" w:cs="Times New Roman"/>
        </w:rPr>
        <w:t xml:space="preserve">A colour rating system is used to indicate </w:t>
      </w:r>
      <w:r w:rsidRPr="00F87D59">
        <w:rPr>
          <w:rFonts w:ascii="Arial" w:eastAsia="Calibri" w:hAnsi="Arial" w:cs="Times New Roman"/>
        </w:rPr>
        <w:t>status whereby:</w:t>
      </w:r>
    </w:p>
    <w:p w:rsidR="00C66797" w:rsidP="004B26AC" w14:paraId="583B61BD" w14:textId="77777777">
      <w:pPr>
        <w:widowControl w:val="0"/>
        <w:spacing w:after="0" w:line="240" w:lineRule="auto"/>
        <w:ind w:left="567" w:hanging="567"/>
        <w:outlineLvl w:val="0"/>
        <w:rPr>
          <w:rFonts w:ascii="Arial" w:eastAsia="Times New Roman" w:hAnsi="Arial" w:cs="Times New Roman"/>
          <w:b/>
          <w:lang w:eastAsia="en-GB"/>
        </w:rPr>
      </w:pPr>
    </w:p>
    <w:p w:rsidR="00C66797" w:rsidRPr="00C66797" w:rsidP="00C66797" w14:paraId="79217C87" w14:textId="77777777">
      <w:pPr>
        <w:widowControl w:val="0"/>
        <w:spacing w:after="0" w:line="240" w:lineRule="auto"/>
        <w:outlineLvl w:val="0"/>
        <w:rPr>
          <w:rFonts w:ascii="Arial" w:eastAsia="Times New Roman" w:hAnsi="Arial" w:cs="Times New Roman"/>
          <w:b/>
          <w:lang w:eastAsia="en-GB"/>
        </w:rPr>
      </w:pPr>
      <w:r w:rsidRPr="00C66797">
        <w:rPr>
          <w:rFonts w:ascii="Arial" w:eastAsia="Times New Roman" w:hAnsi="Arial" w:cs="Times New Roman"/>
          <w:b/>
          <w:lang w:eastAsia="en-GB"/>
        </w:rPr>
        <w:t>Projects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6913"/>
      </w:tblGrid>
      <w:tr w14:paraId="0877DE9B" w14:textId="77777777" w:rsidTr="0006284E">
        <w:tblPrEx>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1"/>
        </w:trPr>
        <w:tc>
          <w:tcPr>
            <w:tcW w:w="1023" w:type="dxa"/>
            <w:shd w:val="clear" w:color="auto" w:fill="auto"/>
            <w:vAlign w:val="center"/>
          </w:tcPr>
          <w:p w:rsidR="00C66797" w:rsidRPr="001A3941" w:rsidP="0006284E" w14:paraId="14B34453" w14:textId="77777777">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0000"/>
              </w:rPr>
              <w:t>RED</w:t>
            </w:r>
          </w:p>
        </w:tc>
        <w:tc>
          <w:tcPr>
            <w:tcW w:w="6913" w:type="dxa"/>
            <w:shd w:val="clear" w:color="auto" w:fill="auto"/>
            <w:vAlign w:val="center"/>
          </w:tcPr>
          <w:p w:rsidR="00C66797" w:rsidRPr="001A3941" w:rsidP="0006284E" w14:paraId="3C50F29A" w14:textId="77777777">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Off track</w:t>
            </w:r>
          </w:p>
        </w:tc>
      </w:tr>
      <w:tr w14:paraId="13E4FCFB" w14:textId="77777777" w:rsidTr="0006284E">
        <w:tblPrEx>
          <w:tblW w:w="0" w:type="auto"/>
          <w:tblInd w:w="421" w:type="dxa"/>
          <w:tblLook w:val="04A0"/>
        </w:tblPrEx>
        <w:trPr>
          <w:trHeight w:val="251"/>
        </w:trPr>
        <w:tc>
          <w:tcPr>
            <w:tcW w:w="1023" w:type="dxa"/>
            <w:shd w:val="clear" w:color="auto" w:fill="auto"/>
            <w:vAlign w:val="center"/>
          </w:tcPr>
          <w:p w:rsidR="00C66797" w:rsidRPr="001A3941" w:rsidP="0006284E" w14:paraId="79A39FEB" w14:textId="77777777">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C000"/>
              </w:rPr>
              <w:t>AMBER</w:t>
            </w:r>
          </w:p>
        </w:tc>
        <w:tc>
          <w:tcPr>
            <w:tcW w:w="6913" w:type="dxa"/>
            <w:shd w:val="clear" w:color="auto" w:fill="auto"/>
            <w:vAlign w:val="center"/>
          </w:tcPr>
          <w:p w:rsidR="00C66797" w:rsidRPr="001A3941" w:rsidP="0006284E" w14:paraId="153B02BE" w14:textId="77777777">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Forecast delays or concerns, an early warning of issues</w:t>
            </w:r>
          </w:p>
        </w:tc>
      </w:tr>
      <w:tr w14:paraId="66A7B8EE" w14:textId="77777777" w:rsidTr="0006284E">
        <w:tblPrEx>
          <w:tblW w:w="0" w:type="auto"/>
          <w:tblInd w:w="421" w:type="dxa"/>
          <w:tblLook w:val="04A0"/>
        </w:tblPrEx>
        <w:trPr>
          <w:trHeight w:val="181"/>
        </w:trPr>
        <w:tc>
          <w:tcPr>
            <w:tcW w:w="1023" w:type="dxa"/>
            <w:shd w:val="clear" w:color="auto" w:fill="auto"/>
            <w:vAlign w:val="center"/>
          </w:tcPr>
          <w:p w:rsidR="00C66797" w:rsidRPr="001A3941" w:rsidP="0006284E" w14:paraId="52C9E760" w14:textId="77777777">
            <w:pPr>
              <w:widowControl w:val="0"/>
              <w:spacing w:after="0" w:line="256" w:lineRule="auto"/>
              <w:contextualSpacing/>
              <w:jc w:val="center"/>
              <w:outlineLvl w:val="0"/>
              <w:rPr>
                <w:rFonts w:ascii="Arial" w:eastAsia="Calibri" w:hAnsi="Arial" w:cs="Times New Roman"/>
                <w:b/>
                <w:color w:val="FF0000"/>
              </w:rPr>
            </w:pPr>
            <w:r w:rsidRPr="001A3941">
              <w:rPr>
                <w:rFonts w:ascii="Arial" w:eastAsia="Calibri" w:hAnsi="Arial" w:cs="Times New Roman"/>
                <w:b/>
                <w:color w:val="00B050"/>
              </w:rPr>
              <w:t>GREEN</w:t>
            </w:r>
          </w:p>
        </w:tc>
        <w:tc>
          <w:tcPr>
            <w:tcW w:w="6913" w:type="dxa"/>
            <w:shd w:val="clear" w:color="auto" w:fill="auto"/>
            <w:vAlign w:val="center"/>
          </w:tcPr>
          <w:p w:rsidR="00C66797" w:rsidRPr="001A3941" w:rsidP="0006284E" w14:paraId="26BE1E93" w14:textId="77777777">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On track and progressing as planning</w:t>
            </w:r>
          </w:p>
        </w:tc>
      </w:tr>
    </w:tbl>
    <w:p w:rsidR="00C66797" w:rsidRPr="00C66797" w:rsidP="00C66797" w14:paraId="4B6E5FE5" w14:textId="77777777">
      <w:pPr>
        <w:pStyle w:val="ListParagraph"/>
        <w:spacing w:after="0" w:line="240" w:lineRule="auto"/>
        <w:ind w:left="360"/>
        <w:rPr>
          <w:rFonts w:ascii="Arial" w:eastAsia="Times New Roman" w:hAnsi="Arial" w:cs="Times New Roman"/>
          <w:b/>
          <w:szCs w:val="20"/>
          <w:lang w:eastAsia="en-GB"/>
        </w:rPr>
      </w:pPr>
    </w:p>
    <w:p w:rsidR="00C66797" w:rsidRPr="00C66797" w:rsidP="00C66797" w14:paraId="6461C16F" w14:textId="77777777">
      <w:pPr>
        <w:spacing w:after="0" w:line="240" w:lineRule="auto"/>
        <w:rPr>
          <w:rFonts w:ascii="Arial" w:eastAsia="Times New Roman" w:hAnsi="Arial" w:cs="Times New Roman"/>
          <w:b/>
          <w:szCs w:val="20"/>
          <w:lang w:eastAsia="en-GB"/>
        </w:rPr>
      </w:pPr>
      <w:r w:rsidRPr="00C66797">
        <w:rPr>
          <w:rFonts w:ascii="Arial" w:eastAsia="Times New Roman" w:hAnsi="Arial" w:cs="Times New Roman"/>
          <w:b/>
          <w:szCs w:val="20"/>
          <w:lang w:eastAsia="en-GB"/>
        </w:rPr>
        <w:t>Performance Indicators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6968"/>
      </w:tblGrid>
      <w:tr w14:paraId="42D90646" w14:textId="77777777" w:rsidTr="0006284E">
        <w:tblPrEx>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1"/>
        </w:trPr>
        <w:tc>
          <w:tcPr>
            <w:tcW w:w="968" w:type="dxa"/>
            <w:shd w:val="clear" w:color="auto" w:fill="auto"/>
            <w:vAlign w:val="center"/>
          </w:tcPr>
          <w:p w:rsidR="00C66797" w:rsidRPr="001A3941" w:rsidP="0006284E" w14:paraId="1546B916" w14:textId="77777777">
            <w:pPr>
              <w:widowControl w:val="0"/>
              <w:spacing w:after="0" w:line="256" w:lineRule="auto"/>
              <w:contextualSpacing/>
              <w:jc w:val="center"/>
              <w:outlineLvl w:val="0"/>
              <w:rPr>
                <w:rFonts w:ascii="Arial" w:eastAsia="Calibri" w:hAnsi="Arial" w:cs="Times New Roman"/>
                <w:b/>
                <w:color w:val="00B050"/>
              </w:rPr>
            </w:pPr>
            <w:r w:rsidRPr="001A3941">
              <w:rPr>
                <w:rFonts w:ascii="Wingdings 3" w:eastAsia="Calibri" w:hAnsi="Wingdings 3" w:cs="Times New Roman"/>
                <w:color w:val="FF0000"/>
                <w:sz w:val="32"/>
              </w:rPr>
              <w:sym w:font="Wingdings 3" w:char="F070"/>
            </w:r>
          </w:p>
        </w:tc>
        <w:tc>
          <w:tcPr>
            <w:tcW w:w="6968" w:type="dxa"/>
            <w:shd w:val="clear" w:color="auto" w:fill="auto"/>
            <w:vAlign w:val="center"/>
          </w:tcPr>
          <w:p w:rsidR="00C66797" w:rsidRPr="001A3941" w:rsidP="0006284E" w14:paraId="55373AD6" w14:textId="77777777">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outside threshold</w:t>
            </w:r>
          </w:p>
        </w:tc>
      </w:tr>
      <w:tr w14:paraId="26E9EF08" w14:textId="77777777" w:rsidTr="0006284E">
        <w:tblPrEx>
          <w:tblW w:w="0" w:type="auto"/>
          <w:tblInd w:w="421" w:type="dxa"/>
          <w:tblLook w:val="04A0"/>
        </w:tblPrEx>
        <w:trPr>
          <w:trHeight w:val="521"/>
        </w:trPr>
        <w:tc>
          <w:tcPr>
            <w:tcW w:w="968" w:type="dxa"/>
            <w:shd w:val="clear" w:color="auto" w:fill="auto"/>
            <w:vAlign w:val="center"/>
          </w:tcPr>
          <w:p w:rsidR="00C66797" w:rsidRPr="001A3941" w:rsidP="0006284E" w14:paraId="1AD27FCD" w14:textId="77777777">
            <w:pPr>
              <w:widowControl w:val="0"/>
              <w:spacing w:after="0" w:line="256" w:lineRule="auto"/>
              <w:contextualSpacing/>
              <w:jc w:val="center"/>
              <w:outlineLvl w:val="0"/>
              <w:rPr>
                <w:rFonts w:ascii="Arial" w:eastAsia="Calibri" w:hAnsi="Arial" w:cs="Times New Roman"/>
                <w:b/>
                <w:color w:val="5B9BD5"/>
              </w:rPr>
            </w:pPr>
            <w:r w:rsidRPr="001A3941">
              <w:rPr>
                <w:rFonts w:ascii="Wingdings" w:eastAsia="Calibri" w:hAnsi="Wingdings" w:cs="Times New Roman"/>
                <w:color w:val="5B9BD5"/>
                <w:sz w:val="44"/>
              </w:rPr>
              <w:sym w:font="Wingdings" w:char="F06C"/>
            </w:r>
          </w:p>
        </w:tc>
        <w:tc>
          <w:tcPr>
            <w:tcW w:w="6968" w:type="dxa"/>
            <w:shd w:val="clear" w:color="auto" w:fill="auto"/>
            <w:vAlign w:val="center"/>
          </w:tcPr>
          <w:p w:rsidR="00C66797" w:rsidRPr="001A3941" w:rsidP="0006284E" w14:paraId="187DA32F" w14:textId="77777777">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 xml:space="preserve">Worse than target but within </w:t>
            </w:r>
            <w:r w:rsidRPr="001A3941">
              <w:rPr>
                <w:rFonts w:ascii="Arial" w:eastAsia="Arial" w:hAnsi="Arial" w:cs="Times New Roman"/>
                <w:bCs/>
                <w:color w:val="000000"/>
              </w:rPr>
              <w:t>threshold (5%)</w:t>
            </w:r>
          </w:p>
        </w:tc>
      </w:tr>
      <w:tr w14:paraId="40DCEDDD" w14:textId="77777777" w:rsidTr="0006284E">
        <w:tblPrEx>
          <w:tblW w:w="0" w:type="auto"/>
          <w:tblInd w:w="421" w:type="dxa"/>
          <w:tblLook w:val="04A0"/>
        </w:tblPrEx>
        <w:trPr>
          <w:trHeight w:val="521"/>
        </w:trPr>
        <w:tc>
          <w:tcPr>
            <w:tcW w:w="968" w:type="dxa"/>
            <w:shd w:val="clear" w:color="auto" w:fill="auto"/>
            <w:vAlign w:val="center"/>
          </w:tcPr>
          <w:p w:rsidR="00C66797" w:rsidRPr="001A3941" w:rsidP="0006284E" w14:paraId="7783DF25" w14:textId="77777777">
            <w:pPr>
              <w:widowControl w:val="0"/>
              <w:spacing w:after="0" w:line="256" w:lineRule="auto"/>
              <w:contextualSpacing/>
              <w:jc w:val="center"/>
              <w:outlineLvl w:val="0"/>
              <w:rPr>
                <w:rFonts w:ascii="Arial" w:eastAsia="Calibri" w:hAnsi="Arial" w:cs="Times New Roman"/>
                <w:b/>
                <w:color w:val="00B050"/>
              </w:rPr>
            </w:pPr>
            <w:r w:rsidRPr="001A3941">
              <w:rPr>
                <w:rFonts w:ascii="Wingdings" w:eastAsia="Calibri" w:hAnsi="Wingdings" w:cs="Times New Roman"/>
                <w:color w:val="00B050"/>
                <w:sz w:val="44"/>
              </w:rPr>
              <w:sym w:font="Wingdings" w:char="F0AB"/>
            </w:r>
          </w:p>
        </w:tc>
        <w:tc>
          <w:tcPr>
            <w:tcW w:w="6968" w:type="dxa"/>
            <w:shd w:val="clear" w:color="auto" w:fill="auto"/>
            <w:vAlign w:val="center"/>
          </w:tcPr>
          <w:p w:rsidR="00C66797" w:rsidRPr="001A3941" w:rsidP="0006284E" w14:paraId="19147519" w14:textId="77777777">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Performance is better than target</w:t>
            </w:r>
          </w:p>
        </w:tc>
      </w:tr>
    </w:tbl>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3117"/>
        <w:gridCol w:w="3117"/>
      </w:tblGrid>
      <w:tr w14:paraId="24589F46" w14:textId="77777777" w:rsidTr="0006284E">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841"/>
        </w:trPr>
        <w:tc>
          <w:tcPr>
            <w:tcW w:w="9351" w:type="dxa"/>
            <w:gridSpan w:val="3"/>
            <w:tcBorders>
              <w:top w:val="nil"/>
              <w:left w:val="nil"/>
              <w:right w:val="nil"/>
            </w:tcBorders>
            <w:shd w:val="clear" w:color="auto" w:fill="auto"/>
          </w:tcPr>
          <w:p w:rsidR="00C66797" w:rsidRPr="00CD4177" w:rsidP="0006284E" w14:paraId="769E1072" w14:textId="6ED0B032">
            <w:pPr>
              <w:pStyle w:val="ListParagraph"/>
              <w:widowControl w:val="0"/>
              <w:spacing w:after="0"/>
              <w:ind w:left="0" w:firstLine="208"/>
              <w:outlineLvl w:val="0"/>
              <w:rPr>
                <w:rFonts w:cs="Arial"/>
                <w:b/>
              </w:rPr>
            </w:pPr>
            <w:bookmarkStart w:id="2" w:name="_Hlk54077637"/>
            <w:r w:rsidRPr="00CD4177">
              <w:rPr>
                <w:rFonts w:cs="Arial"/>
                <w:b/>
                <w:noProof/>
              </w:rPr>
              <w:drawing>
                <wp:inline distT="0" distB="0" distL="0" distR="0">
                  <wp:extent cx="1085850" cy="1314450"/>
                  <wp:effectExtent l="0" t="0" r="0" b="0"/>
                  <wp:docPr id="2" name="Picture 2" descr="Icon&#10;&#10;Description automatically generated"/>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2" name="Picture 1"/>
                          <pic:cNvPicPr>
                            <a:picLocks noRot="1" noChangeAspect="1" noMove="1" noResize="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CD4177">
              <w:rPr>
                <w:rFonts w:cs="Arial"/>
                <w:b/>
              </w:rPr>
              <w:t xml:space="preserve"> </w:t>
            </w:r>
            <w:r w:rsidRPr="00CD4177">
              <w:rPr>
                <w:rFonts w:cs="Arial"/>
                <w:b/>
                <w:noProof/>
              </w:rPr>
              <w:drawing>
                <wp:inline distT="0" distB="0" distL="0" distR="0">
                  <wp:extent cx="2638425" cy="1133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rsidR="00C66797" w:rsidP="0006284E" w14:paraId="28E9EB76" w14:textId="77777777">
            <w:pPr>
              <w:pStyle w:val="ListParagraph"/>
              <w:widowControl w:val="0"/>
              <w:spacing w:after="0"/>
              <w:ind w:left="0"/>
              <w:outlineLvl w:val="0"/>
              <w:rPr>
                <w:rFonts w:cs="Arial"/>
                <w:b/>
                <w:color w:val="0094C8"/>
              </w:rPr>
            </w:pPr>
            <w:r w:rsidRPr="00552B66">
              <w:rPr>
                <w:rFonts w:cs="Arial"/>
                <w:b/>
                <w:color w:val="4E95C7"/>
              </w:rPr>
              <w:t>A COUNCIL THAT</w:t>
            </w:r>
            <w:r w:rsidRPr="00CD4177">
              <w:rPr>
                <w:rFonts w:cs="Arial"/>
                <w:b/>
                <w:color w:val="0094C8"/>
              </w:rPr>
              <w:t>:</w:t>
            </w:r>
          </w:p>
          <w:p w:rsidR="00C66797" w:rsidRPr="00CD4177" w:rsidP="0006284E" w14:paraId="30FAE60F" w14:textId="77777777">
            <w:pPr>
              <w:pStyle w:val="ListParagraph"/>
              <w:widowControl w:val="0"/>
              <w:spacing w:after="0"/>
              <w:ind w:left="0"/>
              <w:outlineLvl w:val="0"/>
              <w:rPr>
                <w:rFonts w:cs="Arial"/>
                <w:b/>
                <w:color w:val="0094C8"/>
              </w:rPr>
            </w:pPr>
          </w:p>
        </w:tc>
      </w:tr>
      <w:tr w14:paraId="310F6372" w14:textId="77777777" w:rsidTr="0006284E">
        <w:tblPrEx>
          <w:tblW w:w="9351" w:type="dxa"/>
          <w:tblLook w:val="04A0"/>
        </w:tblPrEx>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C66797" w:rsidRPr="001D2EA5" w:rsidP="0006284E" w14:paraId="76E30164" w14:textId="77777777">
            <w:pPr>
              <w:rPr>
                <w:b/>
                <w:bCs/>
                <w:color w:val="4E95C7"/>
              </w:rPr>
            </w:pPr>
            <w:r w:rsidRPr="001D2EA5">
              <w:rPr>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C66797" w:rsidRPr="001D2EA5" w:rsidP="0006284E" w14:paraId="7DB945AC" w14:textId="77777777">
            <w:pPr>
              <w:rPr>
                <w:b/>
                <w:bCs/>
                <w:color w:val="4E95C7"/>
              </w:rPr>
            </w:pPr>
            <w:r w:rsidRPr="001D2EA5">
              <w:rPr>
                <w:b/>
                <w:bCs/>
                <w:color w:val="4E95C7"/>
              </w:rPr>
              <w:t>Understand the community and 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C66797" w:rsidRPr="001D2EA5" w:rsidP="0006284E" w14:paraId="47B2CA80" w14:textId="77777777">
            <w:pPr>
              <w:rPr>
                <w:b/>
                <w:bCs/>
                <w:color w:val="4E95C7"/>
              </w:rPr>
            </w:pPr>
            <w:r w:rsidRPr="001D2EA5">
              <w:rPr>
                <w:b/>
                <w:bCs/>
                <w:color w:val="4E95C7"/>
              </w:rPr>
              <w:t xml:space="preserve">Is open and transparent in its </w:t>
            </w:r>
            <w:r w:rsidRPr="001D2EA5">
              <w:rPr>
                <w:b/>
                <w:bCs/>
                <w:color w:val="4E95C7"/>
              </w:rPr>
              <w:t>activities</w:t>
            </w:r>
          </w:p>
        </w:tc>
      </w:tr>
    </w:tbl>
    <w:bookmarkEnd w:id="2"/>
    <w:p w:rsidR="00C66797" w:rsidP="00C66797" w14:paraId="3666E92D" w14:textId="77777777">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rsidR="007229BD" w:rsidP="007229BD" w14:paraId="250C383E" w14:textId="268DA784">
      <w:pPr>
        <w:pStyle w:val="ListParagraph"/>
        <w:spacing w:after="0"/>
        <w:ind w:left="360"/>
        <w:rPr>
          <w:rFonts w:ascii="Arial" w:eastAsia="Calibri" w:hAnsi="Arial" w:cs="Arial"/>
        </w:rPr>
      </w:pPr>
    </w:p>
    <w:p w:rsidR="00822849" w:rsidRPr="001B026A" w:rsidP="001B026A" w14:paraId="04004D87" w14:textId="2AA156CD">
      <w:pPr>
        <w:pStyle w:val="ListParagraph"/>
        <w:numPr>
          <w:ilvl w:val="0"/>
          <w:numId w:val="1"/>
        </w:numPr>
        <w:spacing w:after="0" w:line="240" w:lineRule="auto"/>
        <w:ind w:left="567" w:hanging="567"/>
        <w:rPr>
          <w:rFonts w:ascii="Arial" w:eastAsia="Calibri" w:hAnsi="Arial" w:cs="Times New Roman"/>
        </w:rPr>
      </w:pPr>
      <w:r>
        <w:rPr>
          <w:rFonts w:ascii="Arial" w:eastAsia="Calibri" w:hAnsi="Arial" w:cs="Times New Roman"/>
        </w:rPr>
        <w:t>To support the delivery of excellent services, work on phase two of shared services has focussed on training and development for staff in Customer Services and ICT.  In Customer Services a ‘Training Academy’ has been developed to ensure that all staff have</w:t>
      </w:r>
      <w:r>
        <w:rPr>
          <w:rFonts w:ascii="Arial" w:eastAsia="Calibri" w:hAnsi="Arial" w:cs="Times New Roman"/>
        </w:rPr>
        <w:t xml:space="preserve"> access to the information they need to deal with customers effectively.  In ICT, individual development discussions have </w:t>
      </w:r>
      <w:r w:rsidR="00E968E3">
        <w:rPr>
          <w:rFonts w:ascii="Arial" w:eastAsia="Calibri" w:hAnsi="Arial" w:cs="Times New Roman"/>
        </w:rPr>
        <w:t>commenced,</w:t>
      </w:r>
      <w:r>
        <w:rPr>
          <w:rFonts w:ascii="Arial" w:eastAsia="Calibri" w:hAnsi="Arial" w:cs="Times New Roman"/>
        </w:rPr>
        <w:t xml:space="preserve"> and training plans developed to ensure all staff have the skills and support to demonstrate high performance. </w:t>
      </w:r>
      <w:r w:rsidRPr="001B026A" w:rsidR="00151BA4">
        <w:rPr>
          <w:rFonts w:ascii="Arial" w:eastAsia="Calibri" w:hAnsi="Arial" w:cs="Times New Roman"/>
        </w:rPr>
        <w:t xml:space="preserve">The proposed approach for the delivery and implementation of Phase 3 of Shared Services was presented at the Shared Service Joint Committee in June and </w:t>
      </w:r>
      <w:r w:rsidRPr="001B026A" w:rsidR="0069482E">
        <w:rPr>
          <w:rFonts w:ascii="Arial" w:eastAsia="Calibri" w:hAnsi="Arial" w:cs="Times New Roman"/>
        </w:rPr>
        <w:t>approved at Council in July</w:t>
      </w:r>
      <w:r w:rsidRPr="001B026A">
        <w:rPr>
          <w:rFonts w:ascii="Arial" w:eastAsia="Calibri" w:hAnsi="Arial" w:cs="Times New Roman"/>
        </w:rPr>
        <w:t xml:space="preserve"> 2022</w:t>
      </w:r>
      <w:r w:rsidRPr="001B026A" w:rsidR="0069482E">
        <w:rPr>
          <w:rFonts w:ascii="Arial" w:eastAsia="Calibri" w:hAnsi="Arial" w:cs="Times New Roman"/>
        </w:rPr>
        <w:t xml:space="preserve">. </w:t>
      </w:r>
      <w:r w:rsidRPr="001B026A">
        <w:rPr>
          <w:rFonts w:ascii="Arial" w:eastAsia="Calibri" w:hAnsi="Arial" w:cs="Times New Roman"/>
        </w:rPr>
        <w:t>The proposals for p</w:t>
      </w:r>
      <w:r w:rsidRPr="001B026A" w:rsidR="0069482E">
        <w:rPr>
          <w:rFonts w:ascii="Arial" w:eastAsia="Calibri" w:hAnsi="Arial" w:cs="Times New Roman"/>
        </w:rPr>
        <w:t>hase three include</w:t>
      </w:r>
      <w:r w:rsidRPr="001B026A">
        <w:rPr>
          <w:rFonts w:ascii="Arial" w:eastAsia="Calibri" w:hAnsi="Arial" w:cs="Times New Roman"/>
        </w:rPr>
        <w:t>d</w:t>
      </w:r>
      <w:r w:rsidRPr="001B026A" w:rsidR="0069482E">
        <w:rPr>
          <w:rFonts w:ascii="Arial" w:eastAsia="Calibri" w:hAnsi="Arial" w:cs="Times New Roman"/>
        </w:rPr>
        <w:t xml:space="preserve"> the review of the Property and Assets </w:t>
      </w:r>
      <w:r w:rsidRPr="001B026A">
        <w:rPr>
          <w:rFonts w:ascii="Arial" w:eastAsia="Calibri" w:hAnsi="Arial" w:cs="Times New Roman"/>
        </w:rPr>
        <w:t>servic</w:t>
      </w:r>
      <w:r w:rsidRPr="001B026A">
        <w:rPr>
          <w:rFonts w:ascii="Arial" w:eastAsia="Calibri" w:hAnsi="Arial" w:cs="Times New Roman"/>
        </w:rPr>
        <w:t>e</w:t>
      </w:r>
      <w:r w:rsidRPr="001B026A" w:rsidR="0069482E">
        <w:rPr>
          <w:rFonts w:ascii="Arial" w:eastAsia="Calibri" w:hAnsi="Arial" w:cs="Times New Roman"/>
        </w:rPr>
        <w:t xml:space="preserve"> and the </w:t>
      </w:r>
      <w:r w:rsidRPr="001B026A">
        <w:rPr>
          <w:rFonts w:ascii="Arial" w:eastAsia="Calibri" w:hAnsi="Arial" w:cs="Times New Roman"/>
        </w:rPr>
        <w:t>principles for the future development of shared services</w:t>
      </w:r>
      <w:r w:rsidRPr="001B026A" w:rsidR="0069482E">
        <w:rPr>
          <w:rFonts w:ascii="Arial" w:eastAsia="Calibri" w:hAnsi="Arial" w:cs="Times New Roman"/>
        </w:rPr>
        <w:t xml:space="preserve">. </w:t>
      </w:r>
      <w:r w:rsidRPr="001B026A">
        <w:rPr>
          <w:rFonts w:ascii="Arial" w:eastAsia="Calibri" w:hAnsi="Arial" w:cs="Times New Roman"/>
        </w:rPr>
        <w:t xml:space="preserve"> </w:t>
      </w:r>
    </w:p>
    <w:p w:rsidR="005A2379" w:rsidRPr="001B026A" w:rsidP="001B026A" w14:paraId="00A68D55" w14:textId="77777777">
      <w:pPr>
        <w:pStyle w:val="ListParagraph"/>
        <w:spacing w:after="0" w:line="240" w:lineRule="auto"/>
        <w:ind w:left="567"/>
        <w:rPr>
          <w:rFonts w:ascii="Arial" w:eastAsia="Calibri" w:hAnsi="Arial" w:cs="Times New Roman"/>
        </w:rPr>
      </w:pPr>
    </w:p>
    <w:p w:rsidR="00FD0F07" w:rsidRPr="001B026A" w:rsidP="001B026A" w14:paraId="52048A86" w14:textId="6930E225">
      <w:pPr>
        <w:pStyle w:val="ListParagraph"/>
        <w:numPr>
          <w:ilvl w:val="0"/>
          <w:numId w:val="1"/>
        </w:numPr>
        <w:spacing w:after="0" w:line="240" w:lineRule="auto"/>
        <w:ind w:left="567" w:hanging="567"/>
        <w:rPr>
          <w:rFonts w:ascii="Arial" w:eastAsia="Calibri" w:hAnsi="Arial" w:cs="Times New Roman"/>
        </w:rPr>
      </w:pPr>
      <w:r w:rsidRPr="001B026A">
        <w:rPr>
          <w:rFonts w:ascii="Arial" w:eastAsia="Calibri" w:hAnsi="Arial" w:cs="Times New Roman"/>
        </w:rPr>
        <w:t xml:space="preserve">As part of the Workplace strategy, </w:t>
      </w:r>
      <w:r w:rsidRPr="001B026A" w:rsidR="003A2269">
        <w:rPr>
          <w:rFonts w:ascii="Arial" w:eastAsia="Calibri" w:hAnsi="Arial" w:cs="Times New Roman"/>
        </w:rPr>
        <w:t xml:space="preserve">feasibility </w:t>
      </w:r>
      <w:r w:rsidRPr="001B026A">
        <w:rPr>
          <w:rFonts w:ascii="Arial" w:eastAsia="Calibri" w:hAnsi="Arial" w:cs="Times New Roman"/>
        </w:rPr>
        <w:t>work</w:t>
      </w:r>
      <w:r w:rsidRPr="001B026A" w:rsidR="003A2269">
        <w:rPr>
          <w:rFonts w:ascii="Arial" w:eastAsia="Calibri" w:hAnsi="Arial" w:cs="Times New Roman"/>
        </w:rPr>
        <w:t>s</w:t>
      </w:r>
      <w:r w:rsidRPr="001B026A">
        <w:rPr>
          <w:rFonts w:ascii="Arial" w:eastAsia="Calibri" w:hAnsi="Arial" w:cs="Times New Roman"/>
        </w:rPr>
        <w:t xml:space="preserve"> </w:t>
      </w:r>
      <w:r w:rsidRPr="001B026A" w:rsidR="008C52B9">
        <w:rPr>
          <w:rFonts w:ascii="Arial" w:eastAsia="Calibri" w:hAnsi="Arial" w:cs="Times New Roman"/>
        </w:rPr>
        <w:t>have</w:t>
      </w:r>
      <w:r w:rsidRPr="001B026A">
        <w:rPr>
          <w:rFonts w:ascii="Arial" w:eastAsia="Calibri" w:hAnsi="Arial" w:cs="Times New Roman"/>
        </w:rPr>
        <w:t xml:space="preserve"> been undertake</w:t>
      </w:r>
      <w:r>
        <w:rPr>
          <w:rFonts w:ascii="Arial" w:eastAsia="Calibri" w:hAnsi="Arial" w:cs="Times New Roman"/>
        </w:rPr>
        <w:t xml:space="preserve">n and plans developed to make the best use of the space in the Civic building, focusing on </w:t>
      </w:r>
      <w:r>
        <w:rPr>
          <w:rFonts w:ascii="Arial" w:eastAsia="Calibri" w:hAnsi="Arial" w:cs="Times New Roman"/>
        </w:rPr>
        <w:t>improvements to the working environment to enable new ways of working. In quarter three, t</w:t>
      </w:r>
      <w:r w:rsidRPr="001B026A" w:rsidR="00CA7AD1">
        <w:rPr>
          <w:rFonts w:ascii="Arial" w:eastAsia="Calibri" w:hAnsi="Arial" w:cs="Times New Roman"/>
        </w:rPr>
        <w:t xml:space="preserve">he proposed designs will </w:t>
      </w:r>
      <w:r>
        <w:rPr>
          <w:rFonts w:ascii="Arial" w:eastAsia="Calibri" w:hAnsi="Arial" w:cs="Times New Roman"/>
        </w:rPr>
        <w:t>be refined including staff engagement and costing of options. The changes aim to</w:t>
      </w:r>
      <w:r w:rsidRPr="001B026A" w:rsidR="00CA7AD1">
        <w:rPr>
          <w:rFonts w:ascii="Arial" w:eastAsia="Calibri" w:hAnsi="Arial" w:cs="Times New Roman"/>
        </w:rPr>
        <w:t xml:space="preserve"> make the most out of the available technology and assets to ensure a positive organisational culture </w:t>
      </w:r>
      <w:r w:rsidR="001B026A">
        <w:rPr>
          <w:rFonts w:ascii="Arial" w:eastAsia="Calibri" w:hAnsi="Arial" w:cs="Times New Roman"/>
        </w:rPr>
        <w:t>that</w:t>
      </w:r>
      <w:r w:rsidRPr="001B026A" w:rsidR="00CA7AD1">
        <w:rPr>
          <w:rFonts w:ascii="Arial" w:eastAsia="Calibri" w:hAnsi="Arial" w:cs="Times New Roman"/>
        </w:rPr>
        <w:t xml:space="preserve"> continue</w:t>
      </w:r>
      <w:r w:rsidR="001B026A">
        <w:rPr>
          <w:rFonts w:ascii="Arial" w:eastAsia="Calibri" w:hAnsi="Arial" w:cs="Times New Roman"/>
        </w:rPr>
        <w:t>s to</w:t>
      </w:r>
      <w:r w:rsidRPr="001B026A" w:rsidR="00CA7AD1">
        <w:rPr>
          <w:rFonts w:ascii="Arial" w:eastAsia="Calibri" w:hAnsi="Arial" w:cs="Times New Roman"/>
        </w:rPr>
        <w:t xml:space="preserve"> deliver high quality services.</w:t>
      </w:r>
    </w:p>
    <w:p w:rsidR="00C042E8" w:rsidRPr="001B026A" w:rsidP="007229BD" w14:paraId="27AB5EEF" w14:textId="76C6083D">
      <w:pPr>
        <w:pStyle w:val="ListParagraph"/>
        <w:spacing w:after="0"/>
        <w:ind w:left="360"/>
        <w:rPr>
          <w:rFonts w:ascii="Arial" w:eastAsia="Calibri" w:hAnsi="Arial" w:cs="Times New Roman"/>
        </w:rPr>
      </w:pPr>
    </w:p>
    <w:p w:rsidR="00A47D40" w:rsidP="001B026A" w14:paraId="21A1BBFF" w14:textId="6008A7AA">
      <w:pPr>
        <w:pStyle w:val="ListParagraph"/>
        <w:numPr>
          <w:ilvl w:val="0"/>
          <w:numId w:val="1"/>
        </w:numPr>
        <w:spacing w:after="0" w:line="240" w:lineRule="auto"/>
        <w:ind w:left="567" w:hanging="567"/>
        <w:rPr>
          <w:rFonts w:ascii="Arial" w:eastAsia="Calibri" w:hAnsi="Arial" w:cs="Times New Roman"/>
        </w:rPr>
      </w:pPr>
      <w:r w:rsidRPr="001B026A">
        <w:rPr>
          <w:rFonts w:ascii="Arial" w:eastAsia="Calibri" w:hAnsi="Arial" w:cs="Times New Roman"/>
        </w:rPr>
        <w:t xml:space="preserve">The Chorley and South Ribble partnership has </w:t>
      </w:r>
      <w:r>
        <w:rPr>
          <w:rFonts w:ascii="Arial" w:eastAsia="Calibri" w:hAnsi="Arial" w:cs="Times New Roman"/>
        </w:rPr>
        <w:t xml:space="preserve">progressed work with partners to improve the way we share intelligence and data to inform service design and delivery. </w:t>
      </w:r>
      <w:r w:rsidRPr="001B026A">
        <w:rPr>
          <w:rFonts w:ascii="Arial" w:eastAsia="Calibri" w:hAnsi="Arial" w:cs="Times New Roman"/>
        </w:rPr>
        <w:t>P</w:t>
      </w:r>
      <w:r w:rsidRPr="001B026A">
        <w:rPr>
          <w:rFonts w:ascii="Arial" w:eastAsia="Calibri" w:hAnsi="Arial" w:cs="Times New Roman"/>
        </w:rPr>
        <w:t>rogress has been focused on developing data governance</w:t>
      </w:r>
      <w:r>
        <w:rPr>
          <w:rFonts w:ascii="Arial" w:eastAsia="Calibri" w:hAnsi="Arial" w:cs="Times New Roman"/>
        </w:rPr>
        <w:t xml:space="preserve"> to put the right protocols and systems in place. The next quarter will focus on designing a single dashboard to share with partners for feedback at the next meeting</w:t>
      </w:r>
      <w:r w:rsidRPr="001B026A">
        <w:rPr>
          <w:rFonts w:ascii="Arial" w:eastAsia="Calibri" w:hAnsi="Arial" w:cs="Times New Roman"/>
        </w:rPr>
        <w:t>.</w:t>
      </w:r>
      <w:r w:rsidR="00F66F96">
        <w:rPr>
          <w:rFonts w:ascii="Arial" w:eastAsia="Calibri" w:hAnsi="Arial" w:cs="Times New Roman"/>
        </w:rPr>
        <w:t xml:space="preserve"> </w:t>
      </w:r>
      <w:r w:rsidRPr="001B026A">
        <w:rPr>
          <w:rFonts w:ascii="Arial" w:eastAsia="Calibri" w:hAnsi="Arial" w:cs="Times New Roman"/>
        </w:rPr>
        <w:t xml:space="preserve">The </w:t>
      </w:r>
      <w:r w:rsidR="00F66F96">
        <w:rPr>
          <w:rFonts w:ascii="Arial" w:eastAsia="Calibri" w:hAnsi="Arial" w:cs="Times New Roman"/>
        </w:rPr>
        <w:t>p</w:t>
      </w:r>
      <w:r w:rsidRPr="001B026A">
        <w:rPr>
          <w:rFonts w:ascii="Arial" w:eastAsia="Calibri" w:hAnsi="Arial" w:cs="Times New Roman"/>
        </w:rPr>
        <w:t>artnerships engagement with lo</w:t>
      </w:r>
      <w:r w:rsidRPr="001B026A">
        <w:rPr>
          <w:rFonts w:ascii="Arial" w:eastAsia="Calibri" w:hAnsi="Arial" w:cs="Times New Roman"/>
        </w:rPr>
        <w:t xml:space="preserve">cal businesses has continued with delivery of two round tables over the quarter. Leading businesses from the construction sector came together and identified a range of issues and priorities such as </w:t>
      </w:r>
      <w:r>
        <w:rPr>
          <w:rFonts w:ascii="Arial" w:eastAsia="Calibri" w:hAnsi="Arial" w:cs="Times New Roman"/>
        </w:rPr>
        <w:t xml:space="preserve">access to </w:t>
      </w:r>
      <w:r w:rsidRPr="001B026A">
        <w:rPr>
          <w:rFonts w:ascii="Arial" w:eastAsia="Calibri" w:hAnsi="Arial" w:cs="Times New Roman"/>
        </w:rPr>
        <w:t>suitable land for development, the impacts of r</w:t>
      </w:r>
      <w:r w:rsidRPr="001B026A">
        <w:rPr>
          <w:rFonts w:ascii="Arial" w:eastAsia="Calibri" w:hAnsi="Arial" w:cs="Times New Roman"/>
        </w:rPr>
        <w:t>ising prices across the supply chain, and recruitment challenges</w:t>
      </w:r>
      <w:r>
        <w:rPr>
          <w:rFonts w:ascii="Arial" w:eastAsia="Calibri" w:hAnsi="Arial" w:cs="Times New Roman"/>
        </w:rPr>
        <w:t>.</w:t>
      </w:r>
      <w:r w:rsidR="00F66F96">
        <w:rPr>
          <w:rFonts w:ascii="Arial" w:eastAsia="Calibri" w:hAnsi="Arial" w:cs="Times New Roman"/>
        </w:rPr>
        <w:t xml:space="preserve"> </w:t>
      </w:r>
      <w:r w:rsidRPr="001B026A">
        <w:rPr>
          <w:rFonts w:ascii="Arial" w:eastAsia="Calibri" w:hAnsi="Arial" w:cs="Times New Roman"/>
        </w:rPr>
        <w:t>A further round table was held in response to the increasing pressures on businesses caused by the cost of living crisis</w:t>
      </w:r>
      <w:r>
        <w:rPr>
          <w:rFonts w:ascii="Arial" w:eastAsia="Calibri" w:hAnsi="Arial" w:cs="Times New Roman"/>
        </w:rPr>
        <w:t xml:space="preserve"> including the impact on overheads and the wider workforce</w:t>
      </w:r>
      <w:r w:rsidRPr="001B026A">
        <w:rPr>
          <w:rFonts w:ascii="Arial" w:eastAsia="Calibri" w:hAnsi="Arial" w:cs="Times New Roman"/>
        </w:rPr>
        <w:t xml:space="preserve">. </w:t>
      </w:r>
      <w:r>
        <w:rPr>
          <w:rFonts w:ascii="Arial" w:eastAsia="Calibri" w:hAnsi="Arial" w:cs="Times New Roman"/>
        </w:rPr>
        <w:t>Businesses</w:t>
      </w:r>
      <w:r>
        <w:rPr>
          <w:rFonts w:ascii="Arial" w:eastAsia="Calibri" w:hAnsi="Arial" w:cs="Times New Roman"/>
        </w:rPr>
        <w:t xml:space="preserve"> </w:t>
      </w:r>
      <w:r w:rsidRPr="001B026A">
        <w:rPr>
          <w:rFonts w:ascii="Arial" w:eastAsia="Calibri" w:hAnsi="Arial" w:cs="Times New Roman"/>
        </w:rPr>
        <w:t xml:space="preserve">were able to benefit </w:t>
      </w:r>
      <w:r>
        <w:rPr>
          <w:rFonts w:ascii="Arial" w:eastAsia="Calibri" w:hAnsi="Arial" w:cs="Times New Roman"/>
        </w:rPr>
        <w:t>from direct</w:t>
      </w:r>
      <w:r w:rsidRPr="001B026A">
        <w:rPr>
          <w:rFonts w:ascii="Arial" w:eastAsia="Calibri" w:hAnsi="Arial" w:cs="Times New Roman"/>
        </w:rPr>
        <w:t xml:space="preserve"> engagement </w:t>
      </w:r>
      <w:r>
        <w:rPr>
          <w:rFonts w:ascii="Arial" w:eastAsia="Calibri" w:hAnsi="Arial" w:cs="Times New Roman"/>
        </w:rPr>
        <w:t xml:space="preserve">and advice </w:t>
      </w:r>
      <w:r w:rsidRPr="001B026A">
        <w:rPr>
          <w:rFonts w:ascii="Arial" w:eastAsia="Calibri" w:hAnsi="Arial" w:cs="Times New Roman"/>
        </w:rPr>
        <w:t xml:space="preserve">from the council’s </w:t>
      </w:r>
      <w:r>
        <w:rPr>
          <w:rFonts w:ascii="Arial" w:eastAsia="Calibri" w:hAnsi="Arial" w:cs="Times New Roman"/>
        </w:rPr>
        <w:t>I</w:t>
      </w:r>
      <w:r w:rsidRPr="001B026A">
        <w:rPr>
          <w:rFonts w:ascii="Arial" w:eastAsia="Calibri" w:hAnsi="Arial" w:cs="Times New Roman"/>
        </w:rPr>
        <w:t xml:space="preserve">nvestment and </w:t>
      </w:r>
      <w:r>
        <w:rPr>
          <w:rFonts w:ascii="Arial" w:eastAsia="Calibri" w:hAnsi="Arial" w:cs="Times New Roman"/>
        </w:rPr>
        <w:t>S</w:t>
      </w:r>
      <w:r w:rsidRPr="001B026A">
        <w:rPr>
          <w:rFonts w:ascii="Arial" w:eastAsia="Calibri" w:hAnsi="Arial" w:cs="Times New Roman"/>
        </w:rPr>
        <w:t>kills team</w:t>
      </w:r>
      <w:r w:rsidR="009960BB">
        <w:rPr>
          <w:rFonts w:ascii="Arial" w:eastAsia="Calibri" w:hAnsi="Arial" w:cs="Times New Roman"/>
        </w:rPr>
        <w:t xml:space="preserve">, and feedback from businesses will be used to inform the council’s </w:t>
      </w:r>
      <w:r>
        <w:rPr>
          <w:rFonts w:ascii="Arial" w:eastAsia="Calibri" w:hAnsi="Arial" w:cs="Times New Roman"/>
        </w:rPr>
        <w:t>E</w:t>
      </w:r>
      <w:r w:rsidR="009960BB">
        <w:rPr>
          <w:rFonts w:ascii="Arial" w:eastAsia="Calibri" w:hAnsi="Arial" w:cs="Times New Roman"/>
        </w:rPr>
        <w:t xml:space="preserve">conomic </w:t>
      </w:r>
      <w:r>
        <w:rPr>
          <w:rFonts w:ascii="Arial" w:eastAsia="Calibri" w:hAnsi="Arial" w:cs="Times New Roman"/>
        </w:rPr>
        <w:t>S</w:t>
      </w:r>
      <w:r w:rsidR="009960BB">
        <w:rPr>
          <w:rFonts w:ascii="Arial" w:eastAsia="Calibri" w:hAnsi="Arial" w:cs="Times New Roman"/>
        </w:rPr>
        <w:t>strategy.</w:t>
      </w:r>
    </w:p>
    <w:p w:rsidR="007C5C21" w:rsidRPr="001B026A" w:rsidP="003D37DF" w14:paraId="26370399" w14:textId="755053DA">
      <w:pPr>
        <w:pStyle w:val="ListParagraph"/>
        <w:spacing w:after="0" w:line="240" w:lineRule="auto"/>
        <w:ind w:left="567"/>
        <w:rPr>
          <w:rFonts w:ascii="Arial" w:eastAsia="Calibri" w:hAnsi="Arial" w:cs="Times New Roman"/>
        </w:rPr>
      </w:pPr>
      <w:r w:rsidRPr="001B026A">
        <w:rPr>
          <w:rFonts w:ascii="Arial" w:eastAsia="Calibri" w:hAnsi="Arial" w:cs="Times New Roman"/>
        </w:rPr>
        <w:t>.</w:t>
      </w:r>
    </w:p>
    <w:p w:rsidR="002E3FA6" w:rsidP="00382D6D" w14:paraId="7E664406" w14:textId="527D28A8">
      <w:pPr>
        <w:rPr>
          <w:rFonts w:eastAsia="Times New Roman" w:cstheme="minorHAnsi"/>
          <w:b/>
          <w:bCs/>
          <w:lang w:eastAsia="en-GB"/>
        </w:rPr>
      </w:pPr>
      <w:r w:rsidRPr="00D11C43">
        <w:rPr>
          <w:rFonts w:eastAsia="Times New Roman" w:cstheme="minorHAnsi"/>
          <w:b/>
          <w:bCs/>
          <w:lang w:eastAsia="en-GB"/>
        </w:rPr>
        <w:t xml:space="preserve">Performance of key projects </w:t>
      </w:r>
    </w:p>
    <w:p w:rsidR="002E3FA6" w:rsidP="002E3FA6" w14:paraId="344C8481" w14:textId="77777777">
      <w:pPr>
        <w:spacing w:after="0" w:line="240" w:lineRule="auto"/>
        <w:rPr>
          <w:rFonts w:eastAsia="Times New Roman" w:cstheme="minorHAnsi"/>
          <w:b/>
          <w:bCs/>
          <w:lang w:eastAsia="en-GB"/>
        </w:rPr>
      </w:pPr>
      <w:r>
        <w:rPr>
          <w:rFonts w:eastAsia="Times New Roman" w:cstheme="minorHAnsi"/>
          <w:b/>
          <w:bCs/>
          <w:noProof/>
          <w:lang w:eastAsia="en-GB"/>
        </w:rPr>
        <mc:AlternateContent>
          <mc:Choice Requires="wpg">
            <w:drawing>
              <wp:inline distT="0" distB="0" distL="0" distR="0">
                <wp:extent cx="6035962" cy="1088761"/>
                <wp:effectExtent l="0" t="0" r="0" b="0"/>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6035962" cy="1088761"/>
                          <a:chOff x="0" y="0"/>
                          <a:chExt cx="6035962" cy="1088761"/>
                        </a:xfrm>
                      </wpg:grpSpPr>
                      <wpg:grpSp>
                        <wpg:cNvPr id="7" name="Group 7"/>
                        <wpg:cNvGrpSpPr/>
                        <wpg:grpSpPr>
                          <a:xfrm>
                            <a:off x="0" y="0"/>
                            <a:ext cx="1265555" cy="1088761"/>
                            <a:chOff x="0" y="0"/>
                            <a:chExt cx="1265555" cy="1088761"/>
                          </a:xfrm>
                        </wpg:grpSpPr>
                        <wps:wsp xmlns:wps="http://schemas.microsoft.com/office/word/2010/wordprocessingShape">
                          <wps:cNvPr id="11" name="Oval 107"/>
                          <wps:cNvSpPr>
                            <a:spLocks noChangeArrowheads="1"/>
                          </wps:cNvSpPr>
                          <wps:spPr bwMode="auto">
                            <a:xfrm>
                              <a:off x="94890" y="8626"/>
                              <a:ext cx="1080135" cy="1080135"/>
                            </a:xfrm>
                            <a:prstGeom prst="ellipse">
                              <a:avLst/>
                            </a:prstGeom>
                            <a:solidFill>
                              <a:schemeClr val="accent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12" name="Group 12"/>
                          <wpg:cNvGrpSpPr/>
                          <wpg:grpSpPr>
                            <a:xfrm>
                              <a:off x="0" y="0"/>
                              <a:ext cx="1265555" cy="871220"/>
                              <a:chOff x="0" y="0"/>
                              <a:chExt cx="1265555" cy="871269"/>
                            </a:xfrm>
                          </wpg:grpSpPr>
                          <wps:wsp xmlns:wps="http://schemas.microsoft.com/office/word/2010/wordprocessingShape">
                            <wps:cNvPr id="13"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2E3FA6" w14:paraId="156C1DCD" w14:textId="7777777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wps:txbx>
                            <wps:bodyPr rot="0" vert="horz" wrap="square" anchor="t" anchorCtr="0" upright="1"/>
                          </wps:wsp>
                          <wps:wsp xmlns:wps="http://schemas.microsoft.com/office/word/2010/wordprocessingShape">
                            <wps:cNvPr id="14"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2E3FA6" w14:paraId="04E90B6A"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15" name="Group 15"/>
                        <wpg:cNvGrpSpPr/>
                        <wpg:grpSpPr>
                          <a:xfrm>
                            <a:off x="1595886" y="8626"/>
                            <a:ext cx="1265555" cy="1080135"/>
                            <a:chOff x="0" y="0"/>
                            <a:chExt cx="1265555" cy="1080135"/>
                          </a:xfrm>
                        </wpg:grpSpPr>
                        <wps:wsp xmlns:wps="http://schemas.microsoft.com/office/word/2010/wordprocessingShape">
                          <wps:cNvPr id="16" name="Oval 105"/>
                          <wps:cNvSpPr>
                            <a:spLocks noChangeArrowheads="1"/>
                          </wps:cNvSpPr>
                          <wps:spPr bwMode="auto">
                            <a:xfrm>
                              <a:off x="86265" y="0"/>
                              <a:ext cx="1080135" cy="1080135"/>
                            </a:xfrm>
                            <a:prstGeom prst="ellipse">
                              <a:avLst/>
                            </a:prstGeom>
                            <a:solidFill>
                              <a:srgbClr val="92D05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17" name="Group 17"/>
                          <wpg:cNvGrpSpPr/>
                          <wpg:grpSpPr>
                            <a:xfrm>
                              <a:off x="0" y="43132"/>
                              <a:ext cx="1265555" cy="871269"/>
                              <a:chOff x="0" y="0"/>
                              <a:chExt cx="1265555" cy="871269"/>
                            </a:xfrm>
                          </wpg:grpSpPr>
                          <wps:wsp xmlns:wps="http://schemas.microsoft.com/office/word/2010/wordprocessingShape">
                            <wps:cNvPr id="18"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2E3FA6" w14:paraId="3D0C8CF4" w14:textId="77777777">
                                  <w:pPr>
                                    <w:jc w:val="center"/>
                                    <w:rPr>
                                      <w:b/>
                                      <w:bCs/>
                                      <w:color w:val="FFFFFF"/>
                                      <w:sz w:val="32"/>
                                      <w:szCs w:val="24"/>
                                      <w:lang w:val="en-US"/>
                                    </w:rPr>
                                  </w:pPr>
                                  <w:r>
                                    <w:rPr>
                                      <w:b/>
                                      <w:bCs/>
                                      <w:color w:val="FFFFFF"/>
                                      <w:sz w:val="52"/>
                                      <w:szCs w:val="44"/>
                                      <w:lang w:val="en-US"/>
                                    </w:rPr>
                                    <w:t>3</w:t>
                                  </w:r>
                                </w:p>
                              </w:txbxContent>
                            </wps:txbx>
                            <wps:bodyPr rot="0" vert="horz" wrap="square" anchor="t" anchorCtr="0" upright="1"/>
                          </wps:wsp>
                          <wps:wsp xmlns:wps="http://schemas.microsoft.com/office/word/2010/wordprocessingShape">
                            <wps:cNvPr id="19"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2E3FA6" w14:paraId="722A27EF"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20" name="Group 20"/>
                        <wpg:cNvGrpSpPr/>
                        <wpg:grpSpPr>
                          <a:xfrm>
                            <a:off x="3174520" y="8626"/>
                            <a:ext cx="1265555" cy="1080135"/>
                            <a:chOff x="0" y="0"/>
                            <a:chExt cx="1265555" cy="1080135"/>
                          </a:xfrm>
                        </wpg:grpSpPr>
                        <wps:wsp xmlns:wps="http://schemas.microsoft.com/office/word/2010/wordprocessingShape">
                          <wps:cNvPr id="21" name="Oval 101"/>
                          <wps:cNvSpPr>
                            <a:spLocks noChangeArrowheads="1"/>
                          </wps:cNvSpPr>
                          <wps:spPr bwMode="auto">
                            <a:xfrm>
                              <a:off x="103517" y="0"/>
                              <a:ext cx="1075055" cy="1080135"/>
                            </a:xfrm>
                            <a:prstGeom prst="ellipse">
                              <a:avLst/>
                            </a:prstGeom>
                            <a:solidFill>
                              <a:srgbClr val="EF8F2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2" name="Group 22"/>
                          <wpg:cNvGrpSpPr/>
                          <wpg:grpSpPr>
                            <a:xfrm>
                              <a:off x="0" y="8626"/>
                              <a:ext cx="1265555" cy="871269"/>
                              <a:chOff x="0" y="0"/>
                              <a:chExt cx="1265555" cy="871269"/>
                            </a:xfrm>
                          </wpg:grpSpPr>
                          <wps:wsp xmlns:wps="http://schemas.microsoft.com/office/word/2010/wordprocessingShape">
                            <wps:cNvPr id="23"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2E3FA6" w14:paraId="0735DF9F" w14:textId="7777777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xmlns:wps="http://schemas.microsoft.com/office/word/2010/wordprocessingShape">
                            <wps:cNvPr id="24"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2E3FA6" w14:paraId="4F66429F"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25" name="Group 25"/>
                        <wpg:cNvGrpSpPr/>
                        <wpg:grpSpPr>
                          <a:xfrm>
                            <a:off x="4770407" y="8626"/>
                            <a:ext cx="1265555" cy="1080135"/>
                            <a:chOff x="0" y="0"/>
                            <a:chExt cx="1265555" cy="1080135"/>
                          </a:xfrm>
                        </wpg:grpSpPr>
                        <wps:wsp xmlns:wps="http://schemas.microsoft.com/office/word/2010/wordprocessingShape">
                          <wps:cNvPr id="26" name="Oval 102"/>
                          <wps:cNvSpPr>
                            <a:spLocks noChangeArrowheads="1"/>
                          </wps:cNvSpPr>
                          <wps:spPr bwMode="auto">
                            <a:xfrm>
                              <a:off x="86264" y="0"/>
                              <a:ext cx="1075055" cy="1080135"/>
                            </a:xfrm>
                            <a:prstGeom prst="ellipse">
                              <a:avLst/>
                            </a:prstGeom>
                            <a:solidFill>
                              <a:srgbClr val="C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7" name="Group 27"/>
                          <wpg:cNvGrpSpPr/>
                          <wpg:grpSpPr>
                            <a:xfrm>
                              <a:off x="0" y="25879"/>
                              <a:ext cx="1265555" cy="871269"/>
                              <a:chOff x="0" y="0"/>
                              <a:chExt cx="1265555" cy="871269"/>
                            </a:xfrm>
                          </wpg:grpSpPr>
                          <wps:wsp xmlns:wps="http://schemas.microsoft.com/office/word/2010/wordprocessingShape">
                            <wps:cNvPr id="28"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2E3FA6" w14:paraId="1A46D7F6"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xmlns:wps="http://schemas.microsoft.com/office/word/2010/wordprocessingShape">
                            <wps:cNvPr id="29"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2E3FA6" w14:paraId="7380A249"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id="Group 6" o:spid="_x0000_i1025" style="width:475.25pt;height:85.75pt;mso-position-horizontal-relative:char;mso-position-vertical-relative:line" coordsize="60359,10887">
                <v:group id="Group 7" o:spid="_x0000_s1026" style="width:12655;height:10887;position:absolute" coordsize="12655,10887">
                  <v:oval id="Oval 107" o:spid="_x0000_s1027" style="width:10802;height:10801;left:948;mso-wrap-style:square;position:absolute;top:86;visibility:visible;v-text-anchor:top" fillcolor="#4f81bd" stroked="f"/>
                  <v:group id="Group 12" o:spid="_x0000_s1028" style="width:12655;height:8712;position:absolute" coordsize="12655,8712">
                    <v:shapetype id="_x0000_t202" coordsize="21600,21600" o:spt="202" path="m,l,21600r21600,l21600,xe">
                      <v:stroke joinstyle="miter"/>
                      <v:path gradientshapeok="t" o:connecttype="rect"/>
                    </v:shapetype>
                    <v:shape id="Text Box 108" o:spid="_x0000_s1029" type="#_x0000_t202" style="width:5175;height:4343;left:3709;mso-wrap-style:square;position:absolute;visibility:visible;v-text-anchor:top" filled="f" stroked="f">
                      <v:textbox>
                        <w:txbxContent>
                          <w:p w:rsidR="00B10C74" w:rsidRPr="00AB23E3" w:rsidP="002E3FA6" w14:paraId="67E02BFB" w14:textId="7777777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v:textbox>
                    </v:shape>
                    <v:shape id="Text Box 106" o:spid="_x0000_s1030" type="#_x0000_t202" style="width:12655;height:4658;mso-wrap-style:square;position:absolute;top:4054;visibility:visible;v-text-anchor:top" filled="f" fillcolor="#9bbb59" stroked="f">
                      <v:textbox>
                        <w:txbxContent>
                          <w:p w:rsidR="00B10C74" w:rsidRPr="00860986" w:rsidP="002E3FA6" w14:paraId="2BFA1F0F"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15" o:spid="_x0000_s1031" style="width:12656;height:10801;left:15958;position:absolute;top:86" coordsize="12655,10801">
                  <v:oval id="Oval 105" o:spid="_x0000_s1032" style="width:10802;height:10801;left:862;mso-wrap-style:square;position:absolute;visibility:visible;v-text-anchor:top" fillcolor="#92d050" stroked="f"/>
                  <v:group id="Group 17" o:spid="_x0000_s1033" style="width:12655;height:8713;position:absolute;top:431" coordsize="12655,8712">
                    <v:shape id="Text Box 108" o:spid="_x0000_s1034" type="#_x0000_t202" style="width:5175;height:4343;left:3709;mso-wrap-style:square;position:absolute;visibility:visible;v-text-anchor:top" filled="f" stroked="f">
                      <v:textbox>
                        <w:txbxContent>
                          <w:p w:rsidR="00B10C74" w:rsidRPr="00AB23E3" w:rsidP="002E3FA6" w14:paraId="5BE9DF30" w14:textId="77777777">
                            <w:pPr>
                              <w:jc w:val="center"/>
                              <w:rPr>
                                <w:b/>
                                <w:bCs/>
                                <w:color w:val="FFFFFF"/>
                                <w:sz w:val="32"/>
                                <w:szCs w:val="24"/>
                                <w:lang w:val="en-US"/>
                              </w:rPr>
                            </w:pPr>
                            <w:r>
                              <w:rPr>
                                <w:b/>
                                <w:bCs/>
                                <w:color w:val="FFFFFF"/>
                                <w:sz w:val="52"/>
                                <w:szCs w:val="44"/>
                                <w:lang w:val="en-US"/>
                              </w:rPr>
                              <w:t>3</w:t>
                            </w:r>
                          </w:p>
                        </w:txbxContent>
                      </v:textbox>
                    </v:shape>
                    <v:shape id="Text Box 106" o:spid="_x0000_s1035" type="#_x0000_t202" style="width:12655;height:4658;mso-wrap-style:square;position:absolute;top:4054;visibility:visible;v-text-anchor:top" filled="f" fillcolor="#9bbb59" stroked="f">
                      <v:textbox>
                        <w:txbxContent>
                          <w:p w:rsidR="00B10C74" w:rsidRPr="00860986" w:rsidP="002E3FA6" w14:paraId="452A2D91"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20" o:spid="_x0000_s1036" style="width:12655;height:10801;left:31745;position:absolute;top:86" coordsize="12655,10801">
                  <v:oval id="Oval 101" o:spid="_x0000_s1037" style="width:10750;height:10801;left:1035;mso-wrap-style:square;position:absolute;visibility:visible;v-text-anchor:top" fillcolor="#ef8f2f" stroked="f"/>
                  <v:group id="Group 22" o:spid="_x0000_s1038" style="width:12655;height:8712;position:absolute;top:86" coordsize="12655,8712">
                    <v:shape id="Text Box 108" o:spid="_x0000_s1039" type="#_x0000_t202" style="width:5175;height:4343;left:3709;mso-wrap-style:square;position:absolute;visibility:visible;v-text-anchor:top" filled="f" stroked="f">
                      <v:textbox>
                        <w:txbxContent>
                          <w:p w:rsidR="00B10C74" w:rsidRPr="00AB23E3" w:rsidP="002E3FA6" w14:paraId="6A5CD03A" w14:textId="7777777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040" type="#_x0000_t202" style="width:12655;height:4658;mso-wrap-style:square;position:absolute;top:4054;visibility:visible;v-text-anchor:top" filled="f" fillcolor="#9bbb59" stroked="f">
                      <v:textbox>
                        <w:txbxContent>
                          <w:p w:rsidR="00B10C74" w:rsidRPr="00860986" w:rsidP="002E3FA6" w14:paraId="699472CD"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25" o:spid="_x0000_s1041" style="width:12655;height:10801;left:47704;position:absolute;top:86" coordsize="12655,10801">
                  <v:oval id="Oval 102" o:spid="_x0000_s1042" style="width:10751;height:10801;left:862;mso-wrap-style:square;position:absolute;visibility:visible;v-text-anchor:top" fillcolor="#c00000" stroked="f"/>
                  <v:group id="Group 27" o:spid="_x0000_s1043" style="width:12655;height:8713;position:absolute;top:258" coordsize="12655,8712">
                    <v:shape id="Text Box 108" o:spid="_x0000_s1044" type="#_x0000_t202" style="width:5175;height:4343;left:3709;mso-wrap-style:square;position:absolute;visibility:visible;v-text-anchor:top" filled="f" stroked="f">
                      <v:textbox>
                        <w:txbxContent>
                          <w:p w:rsidR="00B10C74" w:rsidRPr="00AB23E3" w:rsidP="002E3FA6" w14:paraId="3FB75AB7"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045" type="#_x0000_t202" style="width:12655;height:4658;mso-wrap-style:square;position:absolute;top:4054;visibility:visible;v-text-anchor:top" filled="f" fillcolor="#9bbb59" stroked="f">
                      <v:textbox>
                        <w:txbxContent>
                          <w:p w:rsidR="00B10C74" w:rsidRPr="00860986" w:rsidP="002E3FA6" w14:paraId="5172B249"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wrap type="none"/>
                <w10:anchorlock/>
              </v:group>
            </w:pict>
          </mc:Fallback>
        </mc:AlternateContent>
      </w:r>
    </w:p>
    <w:p w:rsidR="002E3FA6" w:rsidP="002E3FA6" w14:paraId="7684191C" w14:textId="77777777">
      <w:pPr>
        <w:pStyle w:val="ListParagraph"/>
        <w:spacing w:after="0"/>
        <w:ind w:left="360"/>
        <w:rPr>
          <w:rFonts w:ascii="Arial" w:eastAsia="Calibri" w:hAnsi="Arial" w:cs="Arial"/>
        </w:rPr>
      </w:pPr>
    </w:p>
    <w:p w:rsidR="002E3FA6" w:rsidP="00BD042B" w14:paraId="44C4359E" w14:textId="77777777">
      <w:pPr>
        <w:pStyle w:val="ListParagraph"/>
        <w:spacing w:after="0"/>
        <w:ind w:left="360"/>
        <w:rPr>
          <w:rFonts w:ascii="Arial" w:eastAsia="Calibri" w:hAnsi="Arial" w:cs="Arial"/>
        </w:rPr>
      </w:pPr>
    </w:p>
    <w:p w:rsidR="009C6155" w:rsidRPr="00F66F96" w:rsidP="009C6155" w14:paraId="3649BE59" w14:textId="47151D9E">
      <w:pPr>
        <w:pStyle w:val="ListParagraph"/>
        <w:numPr>
          <w:ilvl w:val="0"/>
          <w:numId w:val="1"/>
        </w:numPr>
        <w:spacing w:after="0" w:line="240" w:lineRule="auto"/>
        <w:ind w:left="567" w:hanging="567"/>
        <w:rPr>
          <w:rFonts w:ascii="Arial" w:eastAsia="Calibri" w:hAnsi="Arial" w:cs="Times New Roman"/>
        </w:rPr>
      </w:pPr>
      <w:r w:rsidRPr="00F66F96">
        <w:rPr>
          <w:rFonts w:ascii="Arial" w:eastAsia="Calibri" w:hAnsi="Arial" w:cs="Times New Roman"/>
        </w:rPr>
        <w:t xml:space="preserve">There are four key projects included in the 2022/23 Corporate Strategy under this priority and at the end of quarter </w:t>
      </w:r>
      <w:r w:rsidRPr="00F66F96" w:rsidR="00057CD6">
        <w:rPr>
          <w:rFonts w:ascii="Arial" w:eastAsia="Calibri" w:hAnsi="Arial" w:cs="Times New Roman"/>
        </w:rPr>
        <w:t>two</w:t>
      </w:r>
      <w:r w:rsidRPr="00F66F96" w:rsidR="00E162DE">
        <w:rPr>
          <w:rFonts w:ascii="Arial" w:eastAsia="Calibri" w:hAnsi="Arial" w:cs="Times New Roman"/>
        </w:rPr>
        <w:t xml:space="preserve">, </w:t>
      </w:r>
      <w:r w:rsidRPr="00F66F96">
        <w:rPr>
          <w:rFonts w:ascii="Arial" w:eastAsia="Calibri" w:hAnsi="Arial" w:cs="Times New Roman"/>
        </w:rPr>
        <w:t>overall performance is good.</w:t>
      </w:r>
    </w:p>
    <w:p w:rsidR="009C6155" w:rsidRPr="0089406F" w:rsidP="009C6155" w14:paraId="46182EE7" w14:textId="77777777">
      <w:pPr>
        <w:pStyle w:val="ListParagraph"/>
        <w:spacing w:after="0" w:line="240" w:lineRule="auto"/>
        <w:ind w:left="567"/>
        <w:rPr>
          <w:rFonts w:eastAsia="Times New Roman" w:cstheme="minorHAnsi"/>
          <w:lang w:eastAsia="en-GB"/>
        </w:rPr>
      </w:pPr>
    </w:p>
    <w:p w:rsidR="009C6155" w:rsidRPr="006904AD" w:rsidP="009C6155" w14:paraId="28CC3434" w14:textId="77777777">
      <w:pPr>
        <w:pStyle w:val="ListParagraph"/>
        <w:numPr>
          <w:ilvl w:val="0"/>
          <w:numId w:val="1"/>
        </w:numPr>
        <w:spacing w:after="0" w:line="240" w:lineRule="auto"/>
        <w:ind w:left="567" w:hanging="567"/>
        <w:rPr>
          <w:rFonts w:ascii="Arial" w:eastAsia="Calibri" w:hAnsi="Arial" w:cs="Times New Roman"/>
        </w:rPr>
      </w:pPr>
      <w:r w:rsidRPr="006904AD">
        <w:rPr>
          <w:rFonts w:ascii="Arial" w:eastAsia="Calibri" w:hAnsi="Arial" w:cs="Times New Roman"/>
        </w:rPr>
        <w:t>One project is rated as completed, meaning that all key milestones have now been delivered:</w:t>
      </w:r>
    </w:p>
    <w:p w:rsidR="009C6155" w:rsidRPr="00BD042B" w:rsidP="00BD042B" w14:paraId="3CFB7207" w14:textId="77777777">
      <w:pPr>
        <w:pStyle w:val="ListParagraph"/>
        <w:rPr>
          <w:rFonts w:eastAsia="Times New Roman" w:cstheme="minorHAnsi"/>
          <w:lang w:eastAsia="en-GB"/>
        </w:rPr>
      </w:pPr>
    </w:p>
    <w:p w:rsidR="009C6155" w:rsidRPr="00BD042B" w:rsidP="00BD042B" w14:paraId="155246CB" w14:textId="77777777">
      <w:pPr>
        <w:pStyle w:val="ListParagraph"/>
        <w:numPr>
          <w:ilvl w:val="0"/>
          <w:numId w:val="17"/>
        </w:numPr>
        <w:spacing w:after="0" w:line="240" w:lineRule="auto"/>
        <w:rPr>
          <w:rFonts w:eastAsia="Times New Roman" w:cstheme="minorHAnsi"/>
          <w:lang w:eastAsia="en-GB"/>
        </w:rPr>
      </w:pPr>
      <w:r>
        <w:t>Deliver the peer challenge action plan to ensure continued improvement.</w:t>
      </w:r>
    </w:p>
    <w:p w:rsidR="009C6155" w:rsidRPr="00BD042B" w:rsidP="00BD042B" w14:paraId="1072A1D5" w14:textId="77777777">
      <w:pPr>
        <w:pStyle w:val="ListParagraph"/>
        <w:rPr>
          <w:rFonts w:cstheme="minorHAnsi"/>
          <w:bCs/>
          <w:iCs/>
        </w:rPr>
      </w:pPr>
    </w:p>
    <w:p w:rsidR="009C6155" w:rsidRPr="006904AD" w:rsidP="009C6155" w14:paraId="18B711D1" w14:textId="77777777">
      <w:pPr>
        <w:pStyle w:val="ListParagraph"/>
        <w:numPr>
          <w:ilvl w:val="0"/>
          <w:numId w:val="1"/>
        </w:numPr>
        <w:spacing w:after="0" w:line="240" w:lineRule="auto"/>
        <w:ind w:left="567" w:hanging="567"/>
        <w:rPr>
          <w:rFonts w:ascii="Arial" w:eastAsia="Calibri" w:hAnsi="Arial" w:cs="Times New Roman"/>
        </w:rPr>
      </w:pPr>
      <w:r w:rsidRPr="006904AD">
        <w:rPr>
          <w:rFonts w:ascii="Arial" w:eastAsia="Calibri" w:hAnsi="Arial" w:cs="Times New Roman"/>
        </w:rPr>
        <w:t xml:space="preserve">Three projects are rated as green, meaning they are progressing according to timescales and plan: </w:t>
      </w:r>
    </w:p>
    <w:p w:rsidR="009C6155" w:rsidRPr="0089406F" w:rsidP="00BD042B" w14:paraId="4233438F" w14:textId="77777777">
      <w:pPr>
        <w:pStyle w:val="ListParagraph"/>
        <w:spacing w:after="0" w:line="240" w:lineRule="auto"/>
        <w:ind w:left="567"/>
        <w:rPr>
          <w:rFonts w:eastAsia="Times New Roman" w:cstheme="minorHAnsi"/>
          <w:lang w:eastAsia="en-GB"/>
        </w:rPr>
      </w:pPr>
    </w:p>
    <w:p w:rsidR="009C6155" w:rsidRPr="009C6155" w:rsidP="00BD042B" w14:paraId="43B3AD79" w14:textId="77777777">
      <w:pPr>
        <w:pStyle w:val="ListParagraph"/>
        <w:numPr>
          <w:ilvl w:val="0"/>
          <w:numId w:val="17"/>
        </w:numPr>
        <w:spacing w:after="0" w:line="240" w:lineRule="auto"/>
        <w:rPr>
          <w:rFonts w:cstheme="minorHAnsi"/>
          <w:bCs/>
          <w:iCs/>
        </w:rPr>
      </w:pPr>
      <w:r w:rsidRPr="009C6155">
        <w:rPr>
          <w:rFonts w:cstheme="minorHAnsi"/>
          <w:bCs/>
          <w:iCs/>
        </w:rPr>
        <w:t>Deliver the shared services development plan to build a more resilient organisation</w:t>
      </w:r>
      <w:r>
        <w:rPr>
          <w:rFonts w:cstheme="minorHAnsi"/>
          <w:bCs/>
          <w:iCs/>
        </w:rPr>
        <w:t>,</w:t>
      </w:r>
    </w:p>
    <w:p w:rsidR="009C6155" w:rsidRPr="009C6155" w:rsidP="00BD042B" w14:paraId="5F12E3B5" w14:textId="77777777">
      <w:pPr>
        <w:pStyle w:val="ListParagraph"/>
        <w:numPr>
          <w:ilvl w:val="0"/>
          <w:numId w:val="17"/>
        </w:numPr>
        <w:spacing w:after="0" w:line="240" w:lineRule="auto"/>
        <w:rPr>
          <w:rFonts w:cstheme="minorHAnsi"/>
          <w:bCs/>
          <w:iCs/>
        </w:rPr>
      </w:pPr>
      <w:r w:rsidRPr="009C6155">
        <w:rPr>
          <w:rFonts w:cstheme="minorHAnsi"/>
          <w:bCs/>
          <w:iCs/>
        </w:rPr>
        <w:t>Implement more efficient and effective working practices at the council through the WorkPlace Strategy</w:t>
      </w:r>
      <w:r>
        <w:rPr>
          <w:rFonts w:cstheme="minorHAnsi"/>
          <w:bCs/>
          <w:iCs/>
        </w:rPr>
        <w:t>,</w:t>
      </w:r>
    </w:p>
    <w:p w:rsidR="009C6155" w:rsidRPr="0089406F" w:rsidP="00BD042B" w14:paraId="72B66E0B" w14:textId="77777777">
      <w:pPr>
        <w:pStyle w:val="ListParagraph"/>
        <w:numPr>
          <w:ilvl w:val="0"/>
          <w:numId w:val="17"/>
        </w:numPr>
        <w:spacing w:after="0" w:line="240" w:lineRule="auto"/>
        <w:rPr>
          <w:rFonts w:ascii="Segoe UI" w:eastAsia="Times New Roman" w:hAnsi="Segoe UI" w:cs="Segoe UI"/>
          <w:lang w:eastAsia="en-GB"/>
        </w:rPr>
      </w:pPr>
      <w:r w:rsidRPr="009C6155">
        <w:rPr>
          <w:rFonts w:cstheme="minorHAnsi"/>
          <w:bCs/>
          <w:iCs/>
        </w:rPr>
        <w:t>Deliver more joined up public services through working with our partners</w:t>
      </w:r>
      <w:r>
        <w:rPr>
          <w:rFonts w:cstheme="minorHAnsi"/>
          <w:bCs/>
          <w:iCs/>
        </w:rPr>
        <w:t>.</w:t>
      </w:r>
    </w:p>
    <w:p w:rsidR="009C6155" w:rsidRPr="00460D79" w:rsidP="00BD042B" w14:paraId="5BA88D49" w14:textId="77777777">
      <w:pPr>
        <w:pStyle w:val="Heading2"/>
        <w:tabs>
          <w:tab w:val="left" w:pos="6375"/>
        </w:tabs>
        <w:rPr>
          <w:rFonts w:asciiTheme="majorHAnsi" w:hAnsiTheme="majorHAnsi" w:cstheme="majorHAnsi"/>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r>
        <w:rPr>
          <w:rFonts w:asciiTheme="majorHAnsi" w:hAnsiTheme="majorHAnsi" w:cstheme="majorHAnsi"/>
          <w:sz w:val="22"/>
          <w:szCs w:val="22"/>
        </w:rPr>
        <w:tab/>
      </w:r>
      <w:r>
        <w:rPr>
          <w:rFonts w:cstheme="minorHAnsi"/>
          <w:b w:val="0"/>
          <w:bCs w:val="0"/>
          <w:noProof/>
        </w:rPr>
        <mc:AlternateContent>
          <mc:Choice Requires="wpg">
            <w:drawing>
              <wp:inline distT="0" distB="0" distL="0" distR="0">
                <wp:extent cx="6257925" cy="752475"/>
                <wp:effectExtent l="38100" t="38100" r="28575" b="28575"/>
                <wp:docPr id="227" name="Group 227"/>
                <wp:cNvGraphicFramePr/>
                <a:graphic xmlns:a="http://schemas.openxmlformats.org/drawingml/2006/main">
                  <a:graphicData uri="http://schemas.microsoft.com/office/word/2010/wordprocessingGroup">
                    <wpg:wgp xmlns:wpg="http://schemas.microsoft.com/office/word/2010/wordprocessingGroup">
                      <wpg:cNvGrpSpPr/>
                      <wpg:grpSpPr>
                        <a:xfrm>
                          <a:off x="0" y="0"/>
                          <a:ext cx="6257925" cy="752475"/>
                          <a:chOff x="60758" y="58585"/>
                          <a:chExt cx="6258521" cy="678706"/>
                        </a:xfrm>
                      </wpg:grpSpPr>
                      <wpg:grpSp>
                        <wpg:cNvPr id="228" name="Group 228"/>
                        <wpg:cNvGrpSpPr/>
                        <wpg:grpSpPr>
                          <a:xfrm>
                            <a:off x="60758" y="58585"/>
                            <a:ext cx="1968686" cy="678706"/>
                            <a:chOff x="110923" y="51160"/>
                            <a:chExt cx="1971772" cy="657908"/>
                          </a:xfrm>
                        </wpg:grpSpPr>
                        <wps:wsp xmlns:wps="http://schemas.microsoft.com/office/word/2010/wordprocessingShape">
                          <wps:cNvPr id="229"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rsidR="00B10C74" w:rsidRPr="00DC66C7" w:rsidP="00BF4314" w14:paraId="02B81425" w14:textId="77777777">
                                <w:pPr>
                                  <w:spacing w:after="0"/>
                                  <w:ind w:left="227"/>
                                  <w:jc w:val="center"/>
                                  <w:rPr>
                                    <w:b/>
                                    <w:color w:val="568424"/>
                                    <w:sz w:val="20"/>
                                    <w:szCs w:val="20"/>
                                  </w:rPr>
                                </w:pPr>
                                <w:r w:rsidRPr="00DC66C7">
                                  <w:rPr>
                                    <w:b/>
                                    <w:color w:val="568424"/>
                                    <w:sz w:val="20"/>
                                    <w:szCs w:val="20"/>
                                  </w:rPr>
                                  <w:t>Performance is on or better than target</w:t>
                                </w:r>
                              </w:p>
                            </w:txbxContent>
                          </wps:txbx>
                          <wps:bodyPr rot="0" vert="horz" wrap="square" anchor="ctr" anchorCtr="0" upright="1"/>
                        </wps:wsp>
                        <wps:wsp xmlns:wps="http://schemas.microsoft.com/office/word/2010/wordprocessingShape">
                          <wps:cNvPr id="230"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fill="norm" h="647700" w="647700" stroke="1">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blurRad="0" dist="23000" dir="5400000" sx="100000" sy="100000" kx="0" ky="0" algn="b" rotWithShape="0">
                                <a:srgbClr val="000000">
                                  <a:alpha val="34998"/>
                                </a:srgbClr>
                              </a:outerShdw>
                            </a:effectLst>
                          </wps:spPr>
                          <wps:txbx>
                            <w:txbxContent>
                              <w:p w:rsidR="00B10C74" w:rsidRPr="00CD1D55" w:rsidP="009C6155" w14:paraId="6BB27B7C" w14:textId="77777777">
                                <w:pPr>
                                  <w:spacing w:before="320"/>
                                  <w:jc w:val="center"/>
                                  <w:rPr>
                                    <w:b/>
                                    <w:color w:val="FFFFFF"/>
                                    <w:lang w:val="en-US"/>
                                  </w:rPr>
                                </w:pPr>
                                <w:r>
                                  <w:rPr>
                                    <w:b/>
                                    <w:color w:val="FFFFFF"/>
                                    <w:lang w:val="en-US"/>
                                  </w:rPr>
                                  <w:t>0</w:t>
                                </w:r>
                              </w:p>
                            </w:txbxContent>
                          </wps:txbx>
                          <wps:bodyPr rot="0" vert="horz" wrap="square" anchor="ctr" anchorCtr="0" upright="1"/>
                        </wps:wsp>
                      </wpg:grpSp>
                      <wpg:grpSp>
                        <wpg:cNvPr id="231" name="Group 231"/>
                        <wpg:cNvGrpSpPr/>
                        <wpg:grpSpPr>
                          <a:xfrm>
                            <a:off x="2215510" y="123830"/>
                            <a:ext cx="1941079" cy="605821"/>
                            <a:chOff x="121135" y="37328"/>
                            <a:chExt cx="1944347" cy="607276"/>
                          </a:xfrm>
                        </wpg:grpSpPr>
                        <wps:wsp xmlns:wps="http://schemas.microsoft.com/office/word/2010/wordprocessingShape">
                          <wps:cNvPr id="232"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rsidR="00B10C74" w:rsidRPr="00672A2D" w:rsidP="009C6155" w14:paraId="232CC707"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xmlns:wps="http://schemas.microsoft.com/office/word/2010/wordprocessingShape">
                          <wps:cNvPr id="233"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blurRad="0" dist="23000" dir="5400000" sx="100000" sy="100000" kx="0" ky="0" algn="b" rotWithShape="0">
                                <a:srgbClr val="000000">
                                  <a:alpha val="34998"/>
                                </a:srgbClr>
                              </a:outerShdw>
                            </a:effectLst>
                          </wps:spPr>
                          <wps:txbx>
                            <w:txbxContent>
                              <w:p w:rsidR="00B10C74" w:rsidRPr="00770FF6" w:rsidP="009C6155" w14:paraId="25EA9CA6" w14:textId="77777777">
                                <w:pPr>
                                  <w:spacing w:before="60"/>
                                  <w:jc w:val="center"/>
                                  <w:rPr>
                                    <w:b/>
                                    <w:color w:val="FFFFFF"/>
                                    <w:lang w:val="en-US"/>
                                  </w:rPr>
                                </w:pPr>
                                <w:r>
                                  <w:rPr>
                                    <w:b/>
                                    <w:color w:val="FFFFFF"/>
                                    <w:lang w:val="en-US"/>
                                  </w:rPr>
                                  <w:t>0</w:t>
                                </w:r>
                              </w:p>
                            </w:txbxContent>
                          </wps:txbx>
                          <wps:bodyPr rot="0" vert="horz" wrap="square" anchor="ctr" anchorCtr="0" upright="1"/>
                        </wps:wsp>
                      </wpg:grpSp>
                      <wpg:grpSp>
                        <wpg:cNvPr id="234" name="Group 234"/>
                        <wpg:cNvGrpSpPr/>
                        <wpg:grpSpPr>
                          <a:xfrm>
                            <a:off x="4354276" y="58586"/>
                            <a:ext cx="1965003" cy="671065"/>
                            <a:chOff x="80821" y="-45110"/>
                            <a:chExt cx="1967334" cy="636979"/>
                          </a:xfrm>
                        </wpg:grpSpPr>
                        <wps:wsp xmlns:wps="http://schemas.microsoft.com/office/word/2010/wordprocessingShape">
                          <wps:cNvPr id="235"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rsidR="00B10C74" w:rsidRPr="00DC66C7" w:rsidP="009C6155" w14:paraId="3DBDC314" w14:textId="77777777">
                                <w:pPr>
                                  <w:ind w:left="227"/>
                                  <w:jc w:val="center"/>
                                  <w:rPr>
                                    <w:b/>
                                    <w:color w:val="C00000"/>
                                    <w:sz w:val="20"/>
                                    <w:szCs w:val="20"/>
                                  </w:rPr>
                                </w:pPr>
                                <w:r w:rsidRPr="00DC66C7">
                                  <w:rPr>
                                    <w:b/>
                                    <w:color w:val="C00000"/>
                                    <w:sz w:val="20"/>
                                    <w:szCs w:val="20"/>
                                  </w:rPr>
                                  <w:t>Worse than target, outside threshold</w:t>
                                </w:r>
                              </w:p>
                            </w:txbxContent>
                          </wps:txbx>
                          <wps:bodyPr rot="0" vert="horz" wrap="square" anchor="ctr" anchorCtr="0" upright="1"/>
                        </wps:wsp>
                        <wpg:grpSp>
                          <wpg:cNvPr id="236" name="Group 81"/>
                          <wpg:cNvGrpSpPr/>
                          <wpg:grpSpPr>
                            <a:xfrm>
                              <a:off x="80821" y="-45110"/>
                              <a:ext cx="508033" cy="497383"/>
                              <a:chOff x="80821" y="-45110"/>
                              <a:chExt cx="508033" cy="497383"/>
                            </a:xfrm>
                          </wpg:grpSpPr>
                          <wps:wsp xmlns:wps="http://schemas.microsoft.com/office/word/2010/wordprocessingShape">
                            <wps:cNvPr id="237"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blurRad="0" dist="23000" dir="5400000" sx="100000" sy="100000" kx="0" ky="0" algn="b" rotWithShape="0">
                                  <a:srgbClr val="000000">
                                    <a:alpha val="34998"/>
                                  </a:srgbClr>
                                </a:outerShdw>
                              </a:effectLst>
                            </wps:spPr>
                            <wps:txbx>
                              <w:txbxContent>
                                <w:p w:rsidR="00B10C74" w:rsidRPr="00AB433C" w:rsidP="009C6155" w14:paraId="164106E4" w14:textId="77777777">
                                  <w:pPr>
                                    <w:rPr>
                                      <w:b/>
                                      <w:color w:val="FFFFFF"/>
                                    </w:rPr>
                                  </w:pPr>
                                </w:p>
                                <w:p w:rsidR="00B10C74" w:rsidRPr="00AB433C" w:rsidP="009C6155" w14:paraId="57B2082F" w14:textId="77777777">
                                  <w:pPr>
                                    <w:rPr>
                                      <w:b/>
                                      <w:color w:val="FFFFFF"/>
                                    </w:rPr>
                                  </w:pPr>
                                </w:p>
                              </w:txbxContent>
                            </wps:txbx>
                            <wps:bodyPr rot="0" vert="horz" wrap="square" anchor="t" anchorCtr="0" upright="1"/>
                          </wps:wsp>
                          <wps:wsp xmlns:wps="http://schemas.microsoft.com/office/word/2010/wordprocessingShape">
                            <wps:cNvPr id="238" name="Text Box 110"/>
                            <wps:cNvSpPr txBox="1">
                              <a:spLocks noChangeArrowheads="1"/>
                            </wps:cNvSpPr>
                            <wps:spPr bwMode="auto">
                              <a:xfrm>
                                <a:off x="191389" y="112826"/>
                                <a:ext cx="258445" cy="3394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B10C74" w:rsidRPr="00B0312C" w:rsidP="009C6155" w14:paraId="3D292DF9" w14:textId="77777777">
                                  <w:pPr>
                                    <w:rPr>
                                      <w:b/>
                                      <w:color w:val="FFFFFF"/>
                                      <w:lang w:val="en-US"/>
                                    </w:rPr>
                                  </w:pPr>
                                  <w:r>
                                    <w:rPr>
                                      <w:b/>
                                      <w:color w:val="FFFFFF"/>
                                      <w:lang w:val="en-US"/>
                                    </w:rPr>
                                    <w:t>1</w:t>
                                  </w:r>
                                </w:p>
                              </w:txbxContent>
                            </wps:txbx>
                            <wps:bodyPr rot="0" vert="horz" wrap="square" anchor="t" anchorCtr="0" upright="1"/>
                          </wps:wsp>
                        </wpg:grpSp>
                      </wpg:grpSp>
                    </wpg:wgp>
                  </a:graphicData>
                </a:graphic>
              </wp:inline>
            </w:drawing>
          </mc:Choice>
          <mc:Fallback>
            <w:pict>
              <v:group id="Group 227" o:spid="_x0000_i1046" style="width:492.75pt;height:59.25pt;mso-position-horizontal-relative:char;mso-position-vertical-relative:line" coordorigin="607,585" coordsize="62585,6787">
                <v:group id="Group 228" o:spid="_x0000_s1047" style="width:19687;height:6787;left:607;position:absolute;top:585" coordorigin="1109,511" coordsize="19717,657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ectangle 73" o:spid="_x0000_s1048" type="#_x0000_t176" style="width:17291;height:4592;flip:x;left:3535;mso-wrap-style:square;position:absolute;top:2498;visibility:visible;v-text-anchor:middle" strokecolor="#92d050" strokeweight="2pt">
                    <v:textbox>
                      <w:txbxContent>
                        <w:p w:rsidR="00B10C74" w:rsidRPr="00DC66C7" w:rsidP="00BF4314" w14:paraId="0BDB77FE" w14:textId="77777777">
                          <w:pPr>
                            <w:spacing w:after="0"/>
                            <w:ind w:left="227"/>
                            <w:jc w:val="center"/>
                            <w:rPr>
                              <w:b/>
                              <w:color w:val="568424"/>
                              <w:sz w:val="20"/>
                              <w:szCs w:val="20"/>
                            </w:rPr>
                          </w:pPr>
                          <w:r w:rsidRPr="00DC66C7">
                            <w:rPr>
                              <w:b/>
                              <w:color w:val="568424"/>
                              <w:sz w:val="20"/>
                              <w:szCs w:val="20"/>
                            </w:rPr>
                            <w:t>Performance is on or better than target</w:t>
                          </w:r>
                        </w:p>
                      </w:txbxContent>
                    </v:textbox>
                  </v:shape>
                  <v:shape id="5-Point Star 74" o:spid="_x0000_s1049" style="width:5921;height:5080;left:1109;mso-wrap-style:square;position:absolute;top:511;visibility:visible;v-text-anchor:middle" coordsize="647700,647700" o:spt="100" adj="-11796480,,5400" path="m1,247399l247401,247400l323850,l400299,247400l647699,247399,447547,400299l524000,647698l323850,494795,123700,647698,200153,400299,1,247399xe" fillcolor="#92d050" strokecolor="#92d050">
                    <v:stroke joinstyle="miter"/>
                    <v:shadow on="t" color="black" opacity="22936f" origin=",0.5" offset="0,1.81pt"/>
                    <v:formulas/>
                    <v:path arrowok="t" o:connecttype="custom" o:connectlocs="1,194016;226163,194017;296049,0;365935,194017;592097,194016;409127,313924;479017,507940;296049,388030;113081,507940;182971,313924;1,194016" o:connectangles="0,0,0,0,0,0,0,0,0,0,0" textboxrect="0,0,647700,647700"/>
                    <v:textbox>
                      <w:txbxContent>
                        <w:p w:rsidR="00B10C74" w:rsidRPr="00CD1D55" w:rsidP="009C6155" w14:paraId="60489B06" w14:textId="77777777">
                          <w:pPr>
                            <w:spacing w:before="320"/>
                            <w:jc w:val="center"/>
                            <w:rPr>
                              <w:b/>
                              <w:color w:val="FFFFFF"/>
                              <w:lang w:val="en-US"/>
                            </w:rPr>
                          </w:pPr>
                          <w:r>
                            <w:rPr>
                              <w:b/>
                              <w:color w:val="FFFFFF"/>
                              <w:lang w:val="en-US"/>
                            </w:rPr>
                            <w:t>0</w:t>
                          </w:r>
                        </w:p>
                      </w:txbxContent>
                    </v:textbox>
                  </v:shape>
                </v:group>
                <v:group id="Group 231" o:spid="_x0000_s1050" style="width:19410;height:6058;left:22155;position:absolute;top:1238" coordorigin="1211,373" coordsize="19443,6072">
                  <v:roundrect id="Rectangle 67" o:spid="_x0000_s1051" style="width:17290;height:4899;flip:x;left:3364;mso-wrap-style:square;position:absolute;top:1547;visibility:visible;v-text-anchor:middle" arcsize="10923f" strokecolor="#4f81bd" strokeweight="2pt">
                    <v:stroke joinstyle="miter"/>
                    <v:textbox>
                      <w:txbxContent>
                        <w:p w:rsidR="00B10C74" w:rsidRPr="00672A2D" w:rsidP="009C6155" w14:paraId="7C439A39"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052" style="width:4192;height:4311;left:1211;mso-wrap-style:square;position:absolute;top:373;visibility:visible;v-text-anchor:middle" fillcolor="#0070c0" strokecolor="#4a7ebb">
                    <v:shadow on="t" color="black" opacity="22936f" origin=",0.5" offset="0,1.81pt"/>
                    <v:textbox>
                      <w:txbxContent>
                        <w:p w:rsidR="00B10C74" w:rsidRPr="00770FF6" w:rsidP="009C6155" w14:paraId="3C7A76BF" w14:textId="77777777">
                          <w:pPr>
                            <w:spacing w:before="60"/>
                            <w:jc w:val="center"/>
                            <w:rPr>
                              <w:b/>
                              <w:color w:val="FFFFFF"/>
                              <w:lang w:val="en-US"/>
                            </w:rPr>
                          </w:pPr>
                          <w:r>
                            <w:rPr>
                              <w:b/>
                              <w:color w:val="FFFFFF"/>
                              <w:lang w:val="en-US"/>
                            </w:rPr>
                            <w:t>0</w:t>
                          </w:r>
                        </w:p>
                      </w:txbxContent>
                    </v:textbox>
                  </v:oval>
                </v:group>
                <v:group id="Group 234" o:spid="_x0000_s1053" style="width:19650;height:6711;left:43542;position:absolute;top:585" coordorigin="808,-451" coordsize="19673,6369">
                  <v:roundrect id="Rectangle 76" o:spid="_x0000_s1054" style="width:17291;height:4647;flip:x;left:3190;mso-wrap-style:square;position:absolute;top:1271;visibility:visible;v-text-anchor:middle" arcsize="10923f" strokecolor="#c00000" strokeweight="2pt">
                    <v:stroke joinstyle="miter"/>
                    <v:textbox>
                      <w:txbxContent>
                        <w:p w:rsidR="00B10C74" w:rsidRPr="00DC66C7" w:rsidP="009C6155" w14:paraId="6CBBF8FC" w14:textId="77777777">
                          <w:pPr>
                            <w:ind w:left="227"/>
                            <w:jc w:val="center"/>
                            <w:rPr>
                              <w:b/>
                              <w:color w:val="C00000"/>
                              <w:sz w:val="20"/>
                              <w:szCs w:val="20"/>
                            </w:rPr>
                          </w:pPr>
                          <w:r w:rsidRPr="00DC66C7">
                            <w:rPr>
                              <w:b/>
                              <w:color w:val="C00000"/>
                              <w:sz w:val="20"/>
                              <w:szCs w:val="20"/>
                            </w:rPr>
                            <w:t>Worse than target, outside threshold</w:t>
                          </w:r>
                        </w:p>
                      </w:txbxContent>
                    </v:textbox>
                  </v:roundrect>
                  <v:group id="Group 81" o:spid="_x0000_s1055" style="width:5080;height:4973;left:808;position:absolute;top:-451" coordorigin="808,-451" coordsize="5080,497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3" o:spid="_x0000_s1056" type="#_x0000_t5" style="width:5080;height:3928;left:808;mso-wrap-style:square;position:absolute;top:-451;visibility:visible;v-text-anchor:top" adj="10504" fillcolor="#c00000" strokecolor="red">
                      <v:shadow on="t" color="black" opacity="22936f" origin=",0.5" offset="0,1.81pt"/>
                      <v:textbox>
                        <w:txbxContent>
                          <w:p w:rsidR="00B10C74" w:rsidRPr="00AB433C" w:rsidP="009C6155" w14:paraId="10D128A4" w14:textId="77777777">
                            <w:pPr>
                              <w:rPr>
                                <w:b/>
                                <w:color w:val="FFFFFF"/>
                              </w:rPr>
                            </w:pPr>
                          </w:p>
                          <w:p w:rsidR="00B10C74" w:rsidRPr="00AB433C" w:rsidP="009C6155" w14:paraId="4310D1AD" w14:textId="77777777">
                            <w:pPr>
                              <w:rPr>
                                <w:b/>
                                <w:color w:val="FFFFFF"/>
                              </w:rPr>
                            </w:pPr>
                          </w:p>
                        </w:txbxContent>
                      </v:textbox>
                    </v:shape>
                    <v:shape id="Text Box 110" o:spid="_x0000_s1057" type="#_x0000_t202" style="width:2585;height:3394;left:1913;mso-wrap-style:square;position:absolute;top:1128;visibility:visible;v-text-anchor:top" filled="f" stroked="f" strokeweight="0.5pt">
                      <v:textbox>
                        <w:txbxContent>
                          <w:p w:rsidR="00B10C74" w:rsidRPr="00B0312C" w:rsidP="009C6155" w14:paraId="0B3D2DF9" w14:textId="77777777">
                            <w:pPr>
                              <w:rPr>
                                <w:b/>
                                <w:color w:val="FFFFFF"/>
                                <w:lang w:val="en-US"/>
                              </w:rPr>
                            </w:pPr>
                            <w:r>
                              <w:rPr>
                                <w:b/>
                                <w:color w:val="FFFFFF"/>
                                <w:lang w:val="en-US"/>
                              </w:rPr>
                              <w:t>1</w:t>
                            </w:r>
                          </w:p>
                        </w:txbxContent>
                      </v:textbox>
                    </v:shape>
                  </v:group>
                </v:group>
                <w10:wrap type="none"/>
                <w10:anchorlock/>
              </v:group>
            </w:pict>
          </mc:Fallback>
        </mc:AlternateContent>
      </w:r>
    </w:p>
    <w:p w:rsidR="00291E16" w:rsidRPr="00291E16" w:rsidP="00291E16" w14:paraId="630FB263" w14:textId="101E0FB7">
      <w:pPr>
        <w:pStyle w:val="ListParagraph"/>
        <w:numPr>
          <w:ilvl w:val="0"/>
          <w:numId w:val="1"/>
        </w:numPr>
        <w:ind w:left="567" w:hanging="567"/>
        <w:rPr>
          <w:rFonts w:ascii="Arial" w:eastAsia="Calibri" w:hAnsi="Arial" w:cs="Arial"/>
        </w:rPr>
      </w:pPr>
      <w:r w:rsidRPr="001E1416">
        <w:rPr>
          <w:rFonts w:cstheme="minorHAnsi"/>
          <w:bCs/>
          <w:iCs/>
        </w:rPr>
        <w:t xml:space="preserve">At the end of quarter </w:t>
      </w:r>
      <w:r w:rsidR="00057CD6">
        <w:rPr>
          <w:rFonts w:cstheme="minorHAnsi"/>
          <w:bCs/>
          <w:iCs/>
        </w:rPr>
        <w:t>two</w:t>
      </w:r>
      <w:r w:rsidRPr="001E1416">
        <w:rPr>
          <w:rFonts w:cstheme="minorHAnsi"/>
          <w:bCs/>
          <w:iCs/>
        </w:rPr>
        <w:t xml:space="preserve">, </w:t>
      </w:r>
      <w:r w:rsidRPr="00010B8D" w:rsidR="00010B8D">
        <w:rPr>
          <w:rFonts w:cstheme="minorHAnsi"/>
          <w:bCs/>
          <w:iCs/>
        </w:rPr>
        <w:t>one</w:t>
      </w:r>
      <w:r w:rsidRPr="00010B8D">
        <w:rPr>
          <w:rFonts w:cstheme="minorHAnsi"/>
          <w:bCs/>
          <w:iCs/>
        </w:rPr>
        <w:t xml:space="preserve"> </w:t>
      </w:r>
      <w:r w:rsidRPr="001E1416">
        <w:rPr>
          <w:rFonts w:cstheme="minorHAnsi"/>
          <w:bCs/>
          <w:iCs/>
        </w:rPr>
        <w:t xml:space="preserve">of the </w:t>
      </w:r>
      <w:r>
        <w:rPr>
          <w:rFonts w:cstheme="minorHAnsi"/>
          <w:bCs/>
          <w:iCs/>
        </w:rPr>
        <w:t>five</w:t>
      </w:r>
      <w:r w:rsidRPr="001E1416">
        <w:rPr>
          <w:rFonts w:cstheme="minorHAnsi"/>
          <w:bCs/>
          <w:iCs/>
        </w:rPr>
        <w:t xml:space="preserve"> corporate performance indicators under this priority</w:t>
      </w:r>
      <w:r w:rsidR="00BD47EE">
        <w:rPr>
          <w:rFonts w:cstheme="minorHAnsi"/>
          <w:bCs/>
          <w:iCs/>
        </w:rPr>
        <w:t xml:space="preserve"> </w:t>
      </w:r>
      <w:r w:rsidR="00A47D40">
        <w:rPr>
          <w:rFonts w:cstheme="minorHAnsi"/>
          <w:bCs/>
          <w:iCs/>
        </w:rPr>
        <w:t>is</w:t>
      </w:r>
      <w:r w:rsidR="00BD47EE">
        <w:rPr>
          <w:rFonts w:cstheme="minorHAnsi"/>
          <w:bCs/>
          <w:iCs/>
        </w:rPr>
        <w:t xml:space="preserve"> due to be reported</w:t>
      </w:r>
      <w:r w:rsidRPr="001E1416">
        <w:rPr>
          <w:rFonts w:cstheme="minorHAnsi"/>
          <w:bCs/>
          <w:iCs/>
        </w:rPr>
        <w:t>.</w:t>
      </w:r>
      <w:r w:rsidR="00010B8D">
        <w:rPr>
          <w:rFonts w:cstheme="minorHAnsi"/>
          <w:bCs/>
          <w:iCs/>
        </w:rPr>
        <w:t xml:space="preserve"> This indicator </w:t>
      </w:r>
      <w:r w:rsidRPr="00291E16">
        <w:rPr>
          <w:rFonts w:ascii="Arial" w:eastAsia="Calibri" w:hAnsi="Arial" w:cs="Arial"/>
        </w:rPr>
        <w:t>is rated off track and outside of the 5% threshold:</w:t>
      </w:r>
    </w:p>
    <w:p w:rsidR="00C56A58" w:rsidP="00C56A58" w14:paraId="0CB2AEA6" w14:textId="77777777">
      <w:pPr>
        <w:pStyle w:val="ListParagraph"/>
        <w:spacing w:after="0" w:line="240" w:lineRule="auto"/>
        <w:ind w:left="360"/>
        <w:rPr>
          <w:rFonts w:ascii="Arial" w:eastAsia="Calibri" w:hAnsi="Arial" w:cs="Times New Roman"/>
        </w:rPr>
      </w:pPr>
    </w:p>
    <w:p w:rsidR="00CA41FD" w:rsidP="00392FA0" w14:paraId="3DE2D5C5" w14:textId="77777777">
      <w:pPr>
        <w:pStyle w:val="ListParagraph"/>
        <w:numPr>
          <w:ilvl w:val="0"/>
          <w:numId w:val="10"/>
        </w:numPr>
        <w:spacing w:after="0" w:line="240" w:lineRule="auto"/>
        <w:ind w:left="1276"/>
        <w:rPr>
          <w:rFonts w:eastAsia="Calibri" w:cs="Times New Roman"/>
        </w:rPr>
      </w:pPr>
      <w:r w:rsidRPr="00292BEA">
        <w:rPr>
          <w:rFonts w:eastAsia="Calibri" w:cs="Times New Roman"/>
        </w:rPr>
        <w:t xml:space="preserve">At least 40% of service requests will be received via self-service </w:t>
      </w:r>
      <w:r w:rsidRPr="00292BEA" w:rsidR="00823DC9">
        <w:rPr>
          <w:rFonts w:eastAsia="Calibri" w:cs="Times New Roman"/>
        </w:rPr>
        <w:t>channe</w:t>
      </w:r>
      <w:r w:rsidR="002A09CF">
        <w:rPr>
          <w:rFonts w:eastAsia="Calibri" w:cs="Times New Roman"/>
        </w:rPr>
        <w:t>l</w:t>
      </w:r>
      <w:r w:rsidR="009C6155">
        <w:rPr>
          <w:rFonts w:eastAsia="Calibri" w:cs="Times New Roman"/>
        </w:rPr>
        <w:t>s</w:t>
      </w:r>
      <w:r>
        <w:rPr>
          <w:rFonts w:eastAsia="Calibri" w:cs="Times New Roman"/>
        </w:rPr>
        <w:t>,</w:t>
      </w:r>
    </w:p>
    <w:p w:rsidR="00010B8D" w:rsidP="00010B8D" w14:paraId="033B8D4A" w14:textId="28B60917">
      <w:pPr>
        <w:spacing w:after="0" w:line="240" w:lineRule="auto"/>
        <w:rPr>
          <w:rFonts w:eastAsia="Calibri" w:cs="Times New Roman"/>
        </w:rPr>
      </w:pPr>
    </w:p>
    <w:p w:rsidR="00010B8D" w:rsidRPr="00010B8D" w:rsidP="00010B8D" w14:paraId="6A8780C8" w14:textId="77777777">
      <w:pPr>
        <w:spacing w:after="0" w:line="240" w:lineRule="auto"/>
        <w:rPr>
          <w:rFonts w:eastAsia="Calibri" w:cs="Times New Roman"/>
        </w:rPr>
      </w:pPr>
    </w:p>
    <w:tbl>
      <w:tblPr>
        <w:tblW w:w="9956" w:type="dxa"/>
        <w:tblCellMar>
          <w:left w:w="0" w:type="dxa"/>
          <w:right w:w="0" w:type="dxa"/>
        </w:tblCellMar>
        <w:tblLook w:val="04A0"/>
      </w:tblPr>
      <w:tblGrid>
        <w:gridCol w:w="2117"/>
        <w:gridCol w:w="1541"/>
        <w:gridCol w:w="1118"/>
        <w:gridCol w:w="1714"/>
        <w:gridCol w:w="1297"/>
        <w:gridCol w:w="1011"/>
        <w:gridCol w:w="1152"/>
        <w:gridCol w:w="6"/>
      </w:tblGrid>
      <w:tr w14:paraId="1A763AF5" w14:textId="77777777" w:rsidTr="00291E16">
        <w:tblPrEx>
          <w:tblW w:w="9956" w:type="dxa"/>
          <w:tblCellMar>
            <w:left w:w="0" w:type="dxa"/>
            <w:right w:w="0" w:type="dxa"/>
          </w:tblCellMar>
          <w:tblLook w:val="04A0"/>
        </w:tblPrEx>
        <w:trPr>
          <w:gridAfter w:val="1"/>
          <w:wAfter w:w="6" w:type="dxa"/>
          <w:trHeight w:val="254"/>
          <w:tblHeader/>
        </w:trPr>
        <w:tc>
          <w:tcPr>
            <w:tcW w:w="2117"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rsidR="003E2A47" w:rsidP="00291E16" w14:paraId="32A54A20" w14:textId="77777777">
            <w:pPr>
              <w:spacing w:after="160" w:line="252" w:lineRule="auto"/>
              <w:contextualSpacing/>
              <w:rPr>
                <w:b/>
                <w:bCs/>
              </w:rPr>
            </w:pPr>
            <w:bookmarkStart w:id="3" w:name="_Hlk116573011"/>
            <w:r>
              <w:rPr>
                <w:b/>
                <w:bCs/>
              </w:rPr>
              <w:t>Key Performance Indicator</w:t>
            </w:r>
          </w:p>
        </w:tc>
        <w:tc>
          <w:tcPr>
            <w:tcW w:w="154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3E2A47" w:rsidP="00291E16" w14:paraId="0A197E54" w14:textId="77777777">
            <w:pPr>
              <w:spacing w:after="0" w:line="252" w:lineRule="auto"/>
              <w:rPr>
                <w:b/>
                <w:bCs/>
              </w:rPr>
            </w:pPr>
            <w:r>
              <w:rPr>
                <w:b/>
                <w:bCs/>
                <w:color w:val="000000"/>
              </w:rPr>
              <w:t>Polarity</w:t>
            </w:r>
          </w:p>
        </w:tc>
        <w:tc>
          <w:tcPr>
            <w:tcW w:w="1118"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3E2A47" w:rsidP="00291E16" w14:paraId="0F1001AF" w14:textId="77777777">
            <w:pPr>
              <w:spacing w:after="0" w:line="252" w:lineRule="auto"/>
              <w:rPr>
                <w:b/>
                <w:bCs/>
              </w:rPr>
            </w:pPr>
            <w:r>
              <w:rPr>
                <w:b/>
                <w:bCs/>
                <w:color w:val="000000"/>
              </w:rPr>
              <w:t>Target</w:t>
            </w:r>
          </w:p>
        </w:tc>
        <w:tc>
          <w:tcPr>
            <w:tcW w:w="171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3E2A47" w:rsidP="00291E16" w14:paraId="741D4DA5" w14:textId="77777777">
            <w:pPr>
              <w:spacing w:after="0" w:line="252" w:lineRule="auto"/>
              <w:jc w:val="center"/>
              <w:rPr>
                <w:b/>
                <w:bCs/>
              </w:rPr>
            </w:pPr>
            <w:r>
              <w:rPr>
                <w:b/>
                <w:bCs/>
                <w:color w:val="000000"/>
              </w:rPr>
              <w:t>Previous Quarter</w:t>
            </w:r>
          </w:p>
        </w:tc>
        <w:tc>
          <w:tcPr>
            <w:tcW w:w="1297"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3E2A47" w:rsidP="00291E16" w14:paraId="2338A030" w14:textId="77777777">
            <w:pPr>
              <w:spacing w:after="0" w:line="240" w:lineRule="auto"/>
              <w:jc w:val="center"/>
              <w:rPr>
                <w:b/>
                <w:bCs/>
              </w:rPr>
            </w:pPr>
            <w:r>
              <w:rPr>
                <w:b/>
                <w:bCs/>
                <w:color w:val="000000"/>
              </w:rPr>
              <w:t>Quarter 2</w:t>
            </w:r>
          </w:p>
          <w:p w:rsidR="003E2A47" w:rsidP="00291E16" w14:paraId="4E6624FB" w14:textId="77777777">
            <w:pPr>
              <w:spacing w:after="0" w:line="240" w:lineRule="auto"/>
              <w:jc w:val="center"/>
              <w:rPr>
                <w:b/>
                <w:bCs/>
              </w:rPr>
            </w:pPr>
            <w:r>
              <w:rPr>
                <w:b/>
                <w:bCs/>
                <w:color w:val="000000"/>
              </w:rPr>
              <w:t>2022/23</w:t>
            </w:r>
          </w:p>
        </w:tc>
        <w:tc>
          <w:tcPr>
            <w:tcW w:w="101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3E2A47" w:rsidP="00291E16" w14:paraId="3FA59F54" w14:textId="77777777">
            <w:pPr>
              <w:spacing w:after="0" w:line="252" w:lineRule="auto"/>
              <w:jc w:val="center"/>
              <w:rPr>
                <w:b/>
                <w:bCs/>
              </w:rPr>
            </w:pPr>
            <w:r>
              <w:rPr>
                <w:b/>
                <w:bCs/>
                <w:color w:val="000000"/>
              </w:rPr>
              <w:t xml:space="preserve">Symbol </w:t>
            </w:r>
          </w:p>
        </w:tc>
        <w:tc>
          <w:tcPr>
            <w:tcW w:w="1152"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3E2A47" w:rsidP="00291E16" w14:paraId="4FDE33CE" w14:textId="77777777">
            <w:pPr>
              <w:spacing w:after="0" w:line="252" w:lineRule="auto"/>
              <w:jc w:val="center"/>
              <w:rPr>
                <w:b/>
                <w:bCs/>
              </w:rPr>
            </w:pPr>
            <w:r>
              <w:rPr>
                <w:b/>
                <w:bCs/>
                <w:color w:val="000000"/>
              </w:rPr>
              <w:t>Trend</w:t>
            </w:r>
          </w:p>
        </w:tc>
      </w:tr>
      <w:tr w14:paraId="7FC4B211" w14:textId="77777777" w:rsidTr="00291E16">
        <w:tblPrEx>
          <w:tblW w:w="9956" w:type="dxa"/>
          <w:tblCellMar>
            <w:left w:w="0" w:type="dxa"/>
            <w:right w:w="0" w:type="dxa"/>
          </w:tblCellMar>
          <w:tblLook w:val="04A0"/>
        </w:tblPrEx>
        <w:trPr>
          <w:gridAfter w:val="1"/>
          <w:wAfter w:w="6" w:type="dxa"/>
          <w:trHeight w:val="834"/>
          <w:tblHeader/>
        </w:trPr>
        <w:tc>
          <w:tcPr>
            <w:tcW w:w="21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2A47" w:rsidP="00291E16" w14:paraId="44C089AB" w14:textId="12FED5BD">
            <w:pPr>
              <w:spacing w:after="0" w:line="240" w:lineRule="auto"/>
            </w:pPr>
            <w:bookmarkStart w:id="4" w:name="_Hlk116573020"/>
            <w:r w:rsidRPr="00FE1175">
              <w:rPr>
                <w:rFonts w:eastAsia="Calibri"/>
              </w:rPr>
              <w:t>At least 40% of service requests will be received via self-service channels</w:t>
            </w:r>
            <w:bookmarkEnd w:id="4"/>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A47" w:rsidRPr="002B5352" w:rsidP="00291E16" w14:paraId="296E3599" w14:textId="77777777">
            <w:pPr>
              <w:spacing w:after="0" w:line="240" w:lineRule="auto"/>
              <w:jc w:val="center"/>
            </w:pPr>
            <w:r w:rsidRPr="00FE1175">
              <w:rPr>
                <w:rFonts w:eastAsia="Calibri" w:cs="Times New Roman"/>
              </w:rPr>
              <w:t>Bigger is better</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2A47" w:rsidRPr="002B5352" w:rsidP="00291E16" w14:paraId="040AE535" w14:textId="77777777">
            <w:pPr>
              <w:spacing w:after="0" w:line="240" w:lineRule="auto"/>
              <w:jc w:val="center"/>
            </w:pPr>
            <w:r w:rsidRPr="00FE1175">
              <w:rPr>
                <w:rFonts w:eastAsia="Calibri" w:cs="Times New Roman"/>
              </w:rPr>
              <w:t>40%</w:t>
            </w:r>
          </w:p>
        </w:tc>
        <w:tc>
          <w:tcPr>
            <w:tcW w:w="1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A47" w:rsidRPr="00FE1175" w:rsidP="00291E16" w14:paraId="3107E5B1" w14:textId="77777777">
            <w:pPr>
              <w:widowControl w:val="0"/>
              <w:spacing w:line="256" w:lineRule="auto"/>
              <w:contextualSpacing/>
              <w:jc w:val="center"/>
              <w:outlineLvl w:val="0"/>
              <w:rPr>
                <w:rFonts w:eastAsia="Calibri" w:cs="Times New Roman"/>
              </w:rPr>
            </w:pPr>
            <w:r w:rsidRPr="00FE1175">
              <w:rPr>
                <w:rFonts w:eastAsia="Calibri" w:cs="Times New Roman"/>
              </w:rPr>
              <w:t>41</w:t>
            </w:r>
            <w:r>
              <w:rPr>
                <w:rFonts w:eastAsia="Calibri" w:cs="Times New Roman"/>
              </w:rPr>
              <w:t>.8</w:t>
            </w:r>
            <w:r w:rsidRPr="00FE1175">
              <w:rPr>
                <w:rFonts w:eastAsia="Calibri" w:cs="Times New Roman"/>
              </w:rPr>
              <w:t>%</w:t>
            </w:r>
          </w:p>
          <w:p w:rsidR="003E2A47" w:rsidRPr="002B5352" w:rsidP="00291E16" w14:paraId="17037D10" w14:textId="77777777">
            <w:pPr>
              <w:spacing w:after="0" w:line="240" w:lineRule="auto"/>
              <w:jc w:val="center"/>
            </w:pPr>
            <w:r w:rsidRPr="00FE1175">
              <w:rPr>
                <w:rFonts w:eastAsia="Calibri" w:cs="Times New Roman"/>
              </w:rPr>
              <w:t>(Q</w:t>
            </w:r>
            <w:r>
              <w:rPr>
                <w:rFonts w:eastAsia="Calibri" w:cs="Times New Roman"/>
              </w:rPr>
              <w:t>1</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2A47" w:rsidRPr="002B5352" w:rsidP="00291E16" w14:paraId="7BE18668" w14:textId="77777777">
            <w:pPr>
              <w:spacing w:after="0" w:line="240" w:lineRule="auto"/>
              <w:jc w:val="center"/>
              <w:rPr>
                <w:b/>
                <w:bCs/>
              </w:rPr>
            </w:pPr>
            <w:r w:rsidRPr="004A4A67">
              <w:rPr>
                <w:rFonts w:eastAsia="Calibri" w:cs="Times New Roman"/>
                <w:b/>
                <w:bCs/>
              </w:rPr>
              <w:t>29.8%</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2A47" w:rsidP="00291E16" w14:paraId="15EE3B72" w14:textId="77777777">
            <w:pPr>
              <w:spacing w:after="0" w:line="240" w:lineRule="auto"/>
              <w:jc w:val="center"/>
            </w:pPr>
            <w:r w:rsidRPr="00E52C0D">
              <w:rPr>
                <w:rFonts w:ascii="Wingdings 3" w:eastAsia="Arial" w:hAnsi="Wingdings 3" w:cs="Times New Roman"/>
                <w:color w:val="FF0000"/>
                <w:sz w:val="32"/>
              </w:rPr>
              <w:sym w:font="Wingdings 3" w:char="F070"/>
            </w:r>
          </w:p>
        </w:tc>
        <w:tc>
          <w:tcPr>
            <w:tcW w:w="11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E2A47" w:rsidP="00291E16" w14:paraId="6F6B3B09" w14:textId="77777777">
            <w:pPr>
              <w:spacing w:after="0" w:line="240" w:lineRule="auto"/>
              <w:jc w:val="center"/>
            </w:pPr>
            <w:r w:rsidRPr="004A4A67">
              <w:rPr>
                <w:rFonts w:eastAsia="Calibri" w:cs="Times New Roman"/>
                <w:b/>
                <w:bCs/>
                <w:color w:val="00B050"/>
                <w:sz w:val="20"/>
                <w:szCs w:val="20"/>
              </w:rPr>
              <w:t>Better than Q2 2021/22</w:t>
            </w:r>
          </w:p>
        </w:tc>
      </w:tr>
      <w:tr w14:paraId="1F3FE136" w14:textId="77777777" w:rsidTr="00426D10">
        <w:tblPrEx>
          <w:tblW w:w="9956" w:type="dxa"/>
          <w:tblCellMar>
            <w:left w:w="0" w:type="dxa"/>
            <w:right w:w="0" w:type="dxa"/>
          </w:tblCellMar>
          <w:tblLook w:val="04A0"/>
        </w:tblPrEx>
        <w:trPr>
          <w:trHeight w:val="852"/>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2A47" w:rsidP="00291E16" w14:paraId="37F0224C" w14:textId="77777777">
            <w:pPr>
              <w:rPr>
                <w:rFonts w:ascii="Arial" w:hAnsi="Arial" w:cs="Arial"/>
                <w:b/>
                <w:bCs/>
              </w:rPr>
            </w:pPr>
            <w:r>
              <w:rPr>
                <w:rFonts w:ascii="Arial" w:hAnsi="Arial" w:cs="Arial"/>
                <w:b/>
                <w:bCs/>
              </w:rPr>
              <w:t xml:space="preserve">Reason Below Target: </w:t>
            </w:r>
          </w:p>
        </w:tc>
        <w:tc>
          <w:tcPr>
            <w:tcW w:w="7839" w:type="dxa"/>
            <w:gridSpan w:val="7"/>
            <w:tcBorders>
              <w:top w:val="nil"/>
              <w:left w:val="nil"/>
              <w:bottom w:val="single" w:sz="8" w:space="0" w:color="auto"/>
              <w:right w:val="single" w:sz="8" w:space="0" w:color="auto"/>
            </w:tcBorders>
            <w:tcMar>
              <w:top w:w="0" w:type="dxa"/>
              <w:left w:w="108" w:type="dxa"/>
              <w:bottom w:w="0" w:type="dxa"/>
              <w:right w:w="108" w:type="dxa"/>
            </w:tcMar>
          </w:tcPr>
          <w:p w:rsidR="00B10C74" w:rsidRPr="00793724" w:rsidP="00B10C74" w14:paraId="2AD62020" w14:textId="5FA92CB0">
            <w:pPr>
              <w:spacing w:line="240" w:lineRule="auto"/>
              <w:rPr>
                <w:rFonts w:ascii="Arial" w:eastAsia="Arial" w:hAnsi="Arial" w:cs="Times New Roman"/>
              </w:rPr>
            </w:pPr>
            <w:r>
              <w:t>T</w:t>
            </w:r>
            <w:r w:rsidRPr="00793724">
              <w:rPr>
                <w:rFonts w:ascii="Arial" w:eastAsia="Arial" w:hAnsi="Arial" w:cs="Times New Roman"/>
              </w:rPr>
              <w:t xml:space="preserve">he performance of this indicator fluctuates during the year as a result of seasonal demands (e.g. Garden Waste Subscriptions Renewals). </w:t>
            </w:r>
          </w:p>
          <w:p w:rsidR="00B10C74" w:rsidRPr="00793724" w:rsidP="00B10C74" w14:paraId="739B453D" w14:textId="77777777">
            <w:pPr>
              <w:spacing w:line="240" w:lineRule="auto"/>
              <w:rPr>
                <w:rFonts w:ascii="Arial" w:eastAsia="Arial" w:hAnsi="Arial" w:cs="Times New Roman"/>
              </w:rPr>
            </w:pPr>
            <w:r w:rsidRPr="00793724">
              <w:rPr>
                <w:rFonts w:ascii="Arial" w:eastAsia="Arial" w:hAnsi="Arial" w:cs="Times New Roman"/>
              </w:rPr>
              <w:t xml:space="preserve">Historically the percentage of service requests has been artificially inflated by the pandemic. Although performance is lower than in quarter one, when compared to the same period last year it has increased by more than 4%. </w:t>
            </w:r>
          </w:p>
          <w:p w:rsidR="008750EC" w:rsidRPr="005A0668" w:rsidP="00B10C74" w14:paraId="12609BA6" w14:textId="26BC184B">
            <w:pPr>
              <w:spacing w:line="240" w:lineRule="auto"/>
            </w:pPr>
            <w:r w:rsidRPr="00793724">
              <w:rPr>
                <w:rFonts w:ascii="Arial" w:eastAsia="Arial" w:hAnsi="Arial" w:cs="Times New Roman"/>
              </w:rPr>
              <w:t>As a result of restrictions wit</w:t>
            </w:r>
            <w:r w:rsidRPr="00793724">
              <w:rPr>
                <w:rFonts w:ascii="Arial" w:eastAsia="Arial" w:hAnsi="Arial" w:cs="Times New Roman"/>
              </w:rPr>
              <w:t>h technology the monitoring of this indictor is currently based on a system that captures a limited number of all the available online applications that customers can use to access council services. High volume online transactions such as submitting a plan</w:t>
            </w:r>
            <w:r w:rsidRPr="00793724">
              <w:rPr>
                <w:rFonts w:ascii="Arial" w:eastAsia="Arial" w:hAnsi="Arial" w:cs="Times New Roman"/>
              </w:rPr>
              <w:t>ning application and leisure centre bookings are currently excluded.</w:t>
            </w:r>
          </w:p>
        </w:tc>
      </w:tr>
      <w:tr w14:paraId="612E553F" w14:textId="77777777" w:rsidTr="00291E16">
        <w:tblPrEx>
          <w:tblW w:w="9956" w:type="dxa"/>
          <w:tblCellMar>
            <w:left w:w="0" w:type="dxa"/>
            <w:right w:w="0" w:type="dxa"/>
          </w:tblCellMar>
          <w:tblLook w:val="04A0"/>
        </w:tblPrEx>
        <w:trPr>
          <w:trHeight w:val="385"/>
        </w:trPr>
        <w:tc>
          <w:tcPr>
            <w:tcW w:w="21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10C74" w:rsidP="00B10C74" w14:paraId="70AF870B" w14:textId="77777777">
            <w:pPr>
              <w:rPr>
                <w:color w:val="FF0000"/>
              </w:rPr>
            </w:pPr>
            <w:r>
              <w:rPr>
                <w:rFonts w:ascii="Arial" w:hAnsi="Arial" w:cs="Arial"/>
                <w:b/>
                <w:bCs/>
              </w:rPr>
              <w:t>Action Plan:</w:t>
            </w:r>
          </w:p>
        </w:tc>
        <w:tc>
          <w:tcPr>
            <w:tcW w:w="7839" w:type="dxa"/>
            <w:gridSpan w:val="7"/>
            <w:tcBorders>
              <w:top w:val="single" w:sz="8" w:space="0" w:color="auto"/>
              <w:left w:val="nil"/>
              <w:bottom w:val="single" w:sz="4" w:space="0" w:color="auto"/>
              <w:right w:val="single" w:sz="8" w:space="0" w:color="auto"/>
            </w:tcBorders>
            <w:tcMar>
              <w:top w:w="0" w:type="dxa"/>
              <w:left w:w="108" w:type="dxa"/>
              <w:bottom w:w="0" w:type="dxa"/>
              <w:right w:w="108" w:type="dxa"/>
            </w:tcMar>
          </w:tcPr>
          <w:p w:rsidR="00B10C74" w:rsidRPr="00793724" w:rsidP="00902DC6" w14:paraId="07BEA3E4" w14:textId="5B353B52">
            <w:pPr>
              <w:spacing w:line="240" w:lineRule="auto"/>
              <w:rPr>
                <w:rFonts w:ascii="Arial" w:eastAsia="Arial" w:hAnsi="Arial" w:cs="Times New Roman"/>
              </w:rPr>
            </w:pPr>
            <w:r w:rsidRPr="00793724">
              <w:rPr>
                <w:rFonts w:ascii="Arial" w:eastAsia="Arial" w:hAnsi="Arial" w:cs="Times New Roman"/>
              </w:rPr>
              <w:t>A number of actions and initiatives will be put in place to further encourage channel shift to online self-services and to help the council meet its targets. These actions i</w:t>
            </w:r>
            <w:r w:rsidRPr="00793724">
              <w:rPr>
                <w:rFonts w:ascii="Arial" w:eastAsia="Arial" w:hAnsi="Arial" w:cs="Times New Roman"/>
              </w:rPr>
              <w:t>nclude:</w:t>
            </w:r>
          </w:p>
          <w:p w:rsidR="00B10C74" w:rsidRPr="00793724" w:rsidP="00B10C74" w14:paraId="747E7621" w14:textId="77777777">
            <w:pPr>
              <w:numPr>
                <w:ilvl w:val="0"/>
                <w:numId w:val="40"/>
              </w:numPr>
              <w:spacing w:line="240" w:lineRule="auto"/>
              <w:contextualSpacing/>
              <w:rPr>
                <w:rFonts w:ascii="Arial" w:eastAsia="Times New Roman" w:hAnsi="Arial" w:cs="Times New Roman"/>
              </w:rPr>
            </w:pPr>
            <w:r w:rsidRPr="00793724">
              <w:rPr>
                <w:rFonts w:ascii="Arial" w:eastAsia="Times New Roman" w:hAnsi="Arial" w:cs="Times New Roman"/>
              </w:rPr>
              <w:t>The delivery of digital skills programmes to enable residents to use digital services to access council functions</w:t>
            </w:r>
          </w:p>
          <w:p w:rsidR="00B10C74" w:rsidRPr="00902DC6" w:rsidP="00902DC6" w14:paraId="3286B8E4" w14:textId="77777777">
            <w:pPr>
              <w:spacing w:line="240" w:lineRule="auto"/>
              <w:ind w:left="720"/>
              <w:contextualSpacing/>
              <w:rPr>
                <w:rFonts w:ascii="Arial" w:eastAsia="Times New Roman" w:hAnsi="Arial" w:cs="Times New Roman"/>
              </w:rPr>
            </w:pPr>
          </w:p>
          <w:p w:rsidR="00B10C74" w:rsidRPr="00793724" w:rsidP="00B10C74" w14:paraId="756FC1B1" w14:textId="77777777">
            <w:pPr>
              <w:numPr>
                <w:ilvl w:val="0"/>
                <w:numId w:val="40"/>
              </w:numPr>
              <w:spacing w:line="240" w:lineRule="auto"/>
              <w:contextualSpacing/>
              <w:rPr>
                <w:rFonts w:ascii="Arial" w:eastAsia="Times New Roman" w:hAnsi="Arial" w:cs="Times New Roman"/>
              </w:rPr>
            </w:pPr>
            <w:r w:rsidRPr="00793724">
              <w:rPr>
                <w:rFonts w:ascii="Arial" w:eastAsia="Times New Roman" w:hAnsi="Arial" w:cs="Times New Roman"/>
              </w:rPr>
              <w:t xml:space="preserve">A review of how customers are accessing services will be undertaken to ensure that a centralised system is established to monitor all available online self-serve channels that are being utilised by customers.  This review is underway with the new solution </w:t>
            </w:r>
            <w:r w:rsidRPr="00793724">
              <w:rPr>
                <w:rFonts w:ascii="Arial" w:eastAsia="Times New Roman" w:hAnsi="Arial" w:cs="Times New Roman"/>
              </w:rPr>
              <w:t>anticipated to be implemented by quarter four 2023/24.</w:t>
            </w:r>
          </w:p>
          <w:p w:rsidR="00B10C74" w:rsidRPr="00902DC6" w:rsidP="00902DC6" w14:paraId="65468A45" w14:textId="77777777">
            <w:pPr>
              <w:spacing w:line="240" w:lineRule="auto"/>
              <w:ind w:left="720"/>
              <w:contextualSpacing/>
              <w:rPr>
                <w:rFonts w:ascii="Arial" w:eastAsia="Times New Roman" w:hAnsi="Arial" w:cs="Times New Roman"/>
              </w:rPr>
            </w:pPr>
          </w:p>
          <w:p w:rsidR="00B10C74" w:rsidP="00B10C74" w14:paraId="082325A7" w14:textId="4691BEE1">
            <w:pPr>
              <w:numPr>
                <w:ilvl w:val="0"/>
                <w:numId w:val="40"/>
              </w:numPr>
              <w:spacing w:line="240" w:lineRule="auto"/>
              <w:contextualSpacing/>
              <w:rPr>
                <w:rFonts w:ascii="Arial" w:eastAsia="Times New Roman" w:hAnsi="Arial" w:cs="Times New Roman"/>
              </w:rPr>
            </w:pPr>
            <w:r w:rsidRPr="00793724">
              <w:rPr>
                <w:rFonts w:ascii="Arial" w:eastAsia="Times New Roman" w:hAnsi="Arial" w:cs="Times New Roman"/>
              </w:rPr>
              <w:t>A further review of the council’s website and online forms will be undertaken to remove any barriers that may prevent or discourage customers from completing a process online. This should simplify the</w:t>
            </w:r>
            <w:r w:rsidRPr="00793724">
              <w:rPr>
                <w:rFonts w:ascii="Arial" w:eastAsia="Times New Roman" w:hAnsi="Arial" w:cs="Times New Roman"/>
              </w:rPr>
              <w:t xml:space="preserve"> process and make it easier for customers to transact with the council digitally. </w:t>
            </w:r>
          </w:p>
          <w:p w:rsidR="00902DC6" w:rsidRPr="00793724" w:rsidP="00902DC6" w14:paraId="605491BB" w14:textId="77777777">
            <w:pPr>
              <w:spacing w:line="240" w:lineRule="auto"/>
              <w:ind w:left="720"/>
              <w:contextualSpacing/>
              <w:rPr>
                <w:rFonts w:ascii="Arial" w:eastAsia="Times New Roman" w:hAnsi="Arial" w:cs="Times New Roman"/>
              </w:rPr>
            </w:pPr>
          </w:p>
          <w:p w:rsidR="00B10C74" w:rsidRPr="005A0668" w:rsidP="00902DC6" w14:paraId="18DC9434" w14:textId="421B3BC6">
            <w:pPr>
              <w:numPr>
                <w:ilvl w:val="0"/>
                <w:numId w:val="40"/>
              </w:numPr>
              <w:spacing w:line="240" w:lineRule="auto"/>
              <w:contextualSpacing/>
            </w:pPr>
            <w:r w:rsidRPr="00793724">
              <w:rPr>
                <w:rFonts w:ascii="Arial" w:eastAsia="Times New Roman" w:hAnsi="Arial" w:cs="Times New Roman"/>
              </w:rPr>
              <w:t>Following the review of the council’s website and online forms a communications campaign will be launched to promote the benefits of online services to businesses and resid</w:t>
            </w:r>
            <w:r w:rsidRPr="00793724">
              <w:rPr>
                <w:rFonts w:ascii="Arial" w:eastAsia="Times New Roman" w:hAnsi="Arial" w:cs="Times New Roman"/>
              </w:rPr>
              <w:t xml:space="preserve">ents </w:t>
            </w:r>
          </w:p>
        </w:tc>
      </w:tr>
      <w:bookmarkEnd w:id="3"/>
    </w:tbl>
    <w:p w:rsidR="00010B8D" w:rsidRPr="00010B8D" w:rsidP="00010B8D" w14:paraId="422FBAA3" w14:textId="79DA5D58">
      <w:pPr>
        <w:spacing w:after="0" w:line="240" w:lineRule="auto"/>
        <w:rPr>
          <w:rFonts w:eastAsia="Calibri" w:cs="Times New Roman"/>
        </w:rPr>
        <w:sectPr w:rsidSect="00382D6D">
          <w:pgSz w:w="11906" w:h="16838"/>
          <w:pgMar w:top="1440" w:right="1440" w:bottom="1134" w:left="1440" w:header="708" w:footer="708" w:gutter="0"/>
          <w:cols w:space="708"/>
          <w:docGrid w:linePitch="360"/>
        </w:sectPr>
      </w:pPr>
    </w:p>
    <w:p w:rsidR="00C66797" w:rsidP="00CA41FD" w14:paraId="3C17D169" w14:textId="77777777">
      <w:pPr>
        <w:spacing w:after="0" w:line="240" w:lineRule="auto"/>
        <w:rPr>
          <w:rFonts w:ascii="Segoe UI" w:eastAsia="Times New Roman" w:hAnsi="Segoe UI" w:cs="Segoe UI"/>
          <w:sz w:val="21"/>
          <w:szCs w:val="21"/>
          <w:lang w:eastAsia="en-GB"/>
        </w:rPr>
      </w:pP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084"/>
        <w:gridCol w:w="3087"/>
      </w:tblGrid>
      <w:tr w14:paraId="62597444" w14:textId="77777777" w:rsidTr="0006284E">
        <w:tblPrEx>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58"/>
        </w:trPr>
        <w:tc>
          <w:tcPr>
            <w:tcW w:w="9254" w:type="dxa"/>
            <w:gridSpan w:val="3"/>
            <w:tcBorders>
              <w:top w:val="nil"/>
              <w:left w:val="nil"/>
              <w:right w:val="nil"/>
            </w:tcBorders>
            <w:shd w:val="clear" w:color="auto" w:fill="auto"/>
          </w:tcPr>
          <w:p w:rsidR="00C66797" w:rsidRPr="0077663E" w:rsidP="0006284E" w14:paraId="78C98CF2" w14:textId="77777777">
            <w:pPr>
              <w:widowControl w:val="0"/>
              <w:spacing w:after="0" w:line="256" w:lineRule="auto"/>
              <w:ind w:firstLine="208"/>
              <w:contextualSpacing/>
              <w:outlineLvl w:val="0"/>
              <w:rPr>
                <w:rFonts w:ascii="Arial" w:eastAsia="Calibri" w:hAnsi="Arial" w:cs="Arial"/>
                <w:b/>
              </w:rPr>
            </w:pPr>
            <w:r w:rsidRPr="0077663E">
              <w:rPr>
                <w:rFonts w:ascii="Arial" w:eastAsia="Calibri" w:hAnsi="Arial" w:cs="Times New Roman"/>
              </w:rPr>
              <w:br w:type="page"/>
            </w:r>
            <w:bookmarkStart w:id="5" w:name="_Hlk54078121"/>
            <w:r w:rsidRPr="0077663E">
              <w:rPr>
                <w:rFonts w:ascii="Arial" w:eastAsia="Calibri" w:hAnsi="Arial" w:cs="Times New Roman"/>
                <w:noProof/>
              </w:rPr>
              <w:drawing>
                <wp:inline distT="0" distB="0" distL="0" distR="0">
                  <wp:extent cx="1143000" cy="12763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77663E">
              <w:rPr>
                <w:rFonts w:ascii="Arial" w:eastAsia="Calibri" w:hAnsi="Arial" w:cs="Times New Roman"/>
                <w:noProof/>
              </w:rPr>
              <w:drawing>
                <wp:inline distT="0" distB="0" distL="0" distR="0">
                  <wp:extent cx="2924175" cy="971550"/>
                  <wp:effectExtent l="0" t="0" r="952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rsidR="00C66797" w:rsidRPr="0077663E" w:rsidP="0006284E" w14:paraId="67311E04" w14:textId="77777777">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A PLACE WHERE:</w:t>
            </w:r>
          </w:p>
        </w:tc>
      </w:tr>
      <w:tr w14:paraId="07423EC5" w14:textId="77777777" w:rsidTr="0006284E">
        <w:tblPrEx>
          <w:tblW w:w="9254" w:type="dxa"/>
          <w:tblLook w:val="04A0"/>
        </w:tblPrEx>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rsidR="00C66797" w:rsidRPr="0077663E" w:rsidP="0006284E" w14:paraId="1CCE355D" w14:textId="77777777">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rsidR="00C66797" w:rsidRPr="0077663E" w:rsidP="0006284E" w14:paraId="2DE1F067" w14:textId="77777777">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People get involved and have a sense of belonging</w:t>
            </w:r>
          </w:p>
        </w:tc>
        <w:tc>
          <w:tcPr>
            <w:tcW w:w="3087" w:type="dxa"/>
            <w:tcBorders>
              <w:top w:val="single" w:sz="18" w:space="0" w:color="FFFFFF"/>
              <w:left w:val="single" w:sz="18" w:space="0" w:color="FFFFFF"/>
              <w:bottom w:val="single" w:sz="18" w:space="0" w:color="FFFFFF"/>
              <w:right w:val="single" w:sz="18" w:space="0" w:color="FFFFFF"/>
            </w:tcBorders>
            <w:shd w:val="clear" w:color="auto" w:fill="auto"/>
          </w:tcPr>
          <w:p w:rsidR="00C66797" w:rsidRPr="0077663E" w:rsidP="0006284E" w14:paraId="4FD05B0F" w14:textId="77777777">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Communities can access services and support when they need them</w:t>
            </w:r>
          </w:p>
        </w:tc>
      </w:tr>
    </w:tbl>
    <w:bookmarkEnd w:id="5"/>
    <w:p w:rsidR="00805EF3" w:rsidRPr="00460D79" w:rsidP="00805EF3" w14:paraId="136EC9C3" w14:textId="77777777">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rsidR="00C042E8" w:rsidP="00C042E8" w14:paraId="58AFFFA6" w14:textId="72EF6229">
      <w:pPr>
        <w:spacing w:after="0" w:line="240" w:lineRule="auto"/>
        <w:rPr>
          <w:rFonts w:eastAsia="Times New Roman" w:cstheme="minorHAnsi"/>
          <w:b/>
          <w:bCs/>
          <w:lang w:eastAsia="en-GB"/>
        </w:rPr>
      </w:pPr>
    </w:p>
    <w:p w:rsidR="00BF28D0" w:rsidRPr="00F66F96" w:rsidP="006904AD" w14:paraId="1EF01B79" w14:textId="169A7974">
      <w:pPr>
        <w:pStyle w:val="ListParagraph"/>
        <w:numPr>
          <w:ilvl w:val="0"/>
          <w:numId w:val="1"/>
        </w:numPr>
        <w:spacing w:after="0" w:line="240" w:lineRule="auto"/>
        <w:ind w:left="567" w:hanging="567"/>
        <w:rPr>
          <w:rFonts w:ascii="Arial" w:eastAsia="Calibri" w:hAnsi="Arial" w:cs="Times New Roman"/>
        </w:rPr>
      </w:pPr>
      <w:r w:rsidRPr="00F66F96">
        <w:rPr>
          <w:rFonts w:ascii="Arial" w:eastAsia="Calibri" w:hAnsi="Arial" w:cs="Times New Roman"/>
        </w:rPr>
        <w:t xml:space="preserve">The </w:t>
      </w:r>
      <w:r w:rsidRPr="00F66F96" w:rsidR="00B06003">
        <w:rPr>
          <w:rFonts w:ascii="Arial" w:eastAsia="Calibri" w:hAnsi="Arial" w:cs="Times New Roman"/>
        </w:rPr>
        <w:t>Community Hubs</w:t>
      </w:r>
      <w:r w:rsidRPr="00F66F96">
        <w:rPr>
          <w:rFonts w:ascii="Arial" w:eastAsia="Calibri" w:hAnsi="Arial" w:cs="Times New Roman"/>
        </w:rPr>
        <w:t xml:space="preserve"> have successfully delivered a number of projects</w:t>
      </w:r>
      <w:r w:rsidRPr="00F66F96" w:rsidR="009F4A29">
        <w:rPr>
          <w:rFonts w:ascii="Arial" w:eastAsia="Calibri" w:hAnsi="Arial" w:cs="Times New Roman"/>
        </w:rPr>
        <w:t xml:space="preserve"> within the action plans for 2022/23</w:t>
      </w:r>
      <w:r w:rsidR="00A47D40">
        <w:rPr>
          <w:rFonts w:ascii="Arial" w:eastAsia="Calibri" w:hAnsi="Arial" w:cs="Times New Roman"/>
        </w:rPr>
        <w:t>. A</w:t>
      </w:r>
      <w:r w:rsidRPr="00F66F96" w:rsidR="008B6F43">
        <w:rPr>
          <w:rFonts w:ascii="Arial" w:eastAsia="Calibri" w:hAnsi="Arial" w:cs="Times New Roman"/>
        </w:rPr>
        <w:t xml:space="preserve"> summary</w:t>
      </w:r>
      <w:r w:rsidRPr="00F66F96">
        <w:rPr>
          <w:rFonts w:ascii="Arial" w:eastAsia="Calibri" w:hAnsi="Arial" w:cs="Times New Roman"/>
        </w:rPr>
        <w:t xml:space="preserve"> of the projects delivered over the quarter </w:t>
      </w:r>
      <w:r w:rsidR="00A47D40">
        <w:rPr>
          <w:rFonts w:ascii="Arial" w:eastAsia="Calibri" w:hAnsi="Arial" w:cs="Times New Roman"/>
        </w:rPr>
        <w:t xml:space="preserve">is </w:t>
      </w:r>
      <w:r w:rsidRPr="00F66F96" w:rsidR="008B6F43">
        <w:rPr>
          <w:rFonts w:ascii="Arial" w:eastAsia="Calibri" w:hAnsi="Arial" w:cs="Times New Roman"/>
        </w:rPr>
        <w:t>included</w:t>
      </w:r>
      <w:r w:rsidRPr="00F66F96">
        <w:rPr>
          <w:rFonts w:ascii="Arial" w:eastAsia="Calibri" w:hAnsi="Arial" w:cs="Times New Roman"/>
        </w:rPr>
        <w:t xml:space="preserve"> at </w:t>
      </w:r>
      <w:r>
        <w:rPr>
          <w:rFonts w:ascii="Arial" w:eastAsia="Calibri" w:hAnsi="Arial" w:cs="Times New Roman"/>
        </w:rPr>
        <w:t>a</w:t>
      </w:r>
      <w:r w:rsidRPr="00F66F96">
        <w:rPr>
          <w:rFonts w:ascii="Arial" w:eastAsia="Calibri" w:hAnsi="Arial" w:cs="Times New Roman"/>
        </w:rPr>
        <w:t xml:space="preserve">ppendix 3. </w:t>
      </w:r>
      <w:r w:rsidR="00A47D40">
        <w:rPr>
          <w:rFonts w:ascii="Arial" w:eastAsia="Calibri" w:hAnsi="Arial" w:cs="Times New Roman"/>
        </w:rPr>
        <w:t xml:space="preserve">Funding </w:t>
      </w:r>
      <w:r w:rsidRPr="00F66F96" w:rsidR="009F4A29">
        <w:rPr>
          <w:rFonts w:ascii="Arial" w:eastAsia="Calibri" w:hAnsi="Arial" w:cs="Times New Roman"/>
        </w:rPr>
        <w:t>agreement</w:t>
      </w:r>
      <w:r w:rsidRPr="00F66F96" w:rsidR="00D22D90">
        <w:rPr>
          <w:rFonts w:ascii="Arial" w:eastAsia="Calibri" w:hAnsi="Arial" w:cs="Times New Roman"/>
        </w:rPr>
        <w:t>s</w:t>
      </w:r>
      <w:r w:rsidRPr="00F66F96" w:rsidR="009F4A29">
        <w:rPr>
          <w:rFonts w:ascii="Arial" w:eastAsia="Calibri" w:hAnsi="Arial" w:cs="Times New Roman"/>
        </w:rPr>
        <w:t xml:space="preserve"> </w:t>
      </w:r>
      <w:r w:rsidR="00A47D40">
        <w:rPr>
          <w:rFonts w:ascii="Arial" w:eastAsia="Calibri" w:hAnsi="Arial" w:cs="Times New Roman"/>
        </w:rPr>
        <w:t xml:space="preserve">are now in place </w:t>
      </w:r>
      <w:r w:rsidRPr="00F66F96" w:rsidR="009F4A29">
        <w:rPr>
          <w:rFonts w:ascii="Arial" w:eastAsia="Calibri" w:hAnsi="Arial" w:cs="Times New Roman"/>
        </w:rPr>
        <w:t xml:space="preserve">for the grants that </w:t>
      </w:r>
      <w:r w:rsidRPr="00F66F96" w:rsidR="00D22D90">
        <w:rPr>
          <w:rFonts w:ascii="Arial" w:eastAsia="Calibri" w:hAnsi="Arial" w:cs="Times New Roman"/>
        </w:rPr>
        <w:t>have been</w:t>
      </w:r>
      <w:r w:rsidRPr="00F66F96" w:rsidR="009F4A29">
        <w:rPr>
          <w:rFonts w:ascii="Arial" w:eastAsia="Calibri" w:hAnsi="Arial" w:cs="Times New Roman"/>
        </w:rPr>
        <w:t xml:space="preserve"> awarded through the ‘Boost Fund Plus’ and ‘Leisure Local Community Fund’.</w:t>
      </w:r>
      <w:r w:rsidR="006E12F4">
        <w:rPr>
          <w:rFonts w:ascii="Arial" w:eastAsia="Calibri" w:hAnsi="Arial" w:cs="Times New Roman"/>
        </w:rPr>
        <w:t xml:space="preserve"> An</w:t>
      </w:r>
      <w:r w:rsidRPr="00F66F96" w:rsidR="00E56B15">
        <w:rPr>
          <w:rFonts w:ascii="Arial" w:eastAsia="Calibri" w:hAnsi="Arial" w:cs="Times New Roman"/>
        </w:rPr>
        <w:t xml:space="preserve"> </w:t>
      </w:r>
      <w:r w:rsidRPr="00F66F96">
        <w:rPr>
          <w:rFonts w:ascii="Arial" w:eastAsia="Calibri" w:hAnsi="Arial" w:cs="Times New Roman"/>
        </w:rPr>
        <w:t xml:space="preserve">autumn round of </w:t>
      </w:r>
      <w:r w:rsidRPr="00F66F96" w:rsidR="00E56B15">
        <w:rPr>
          <w:rFonts w:ascii="Arial" w:eastAsia="Calibri" w:hAnsi="Arial" w:cs="Times New Roman"/>
        </w:rPr>
        <w:t>‘C</w:t>
      </w:r>
      <w:r w:rsidRPr="00F66F96">
        <w:rPr>
          <w:rFonts w:ascii="Arial" w:eastAsia="Calibri" w:hAnsi="Arial" w:cs="Times New Roman"/>
        </w:rPr>
        <w:t xml:space="preserve">ommunity </w:t>
      </w:r>
      <w:r w:rsidRPr="00F66F96" w:rsidR="00E56B15">
        <w:rPr>
          <w:rFonts w:ascii="Arial" w:eastAsia="Calibri" w:hAnsi="Arial" w:cs="Times New Roman"/>
        </w:rPr>
        <w:t>C</w:t>
      </w:r>
      <w:r w:rsidRPr="00F66F96">
        <w:rPr>
          <w:rFonts w:ascii="Arial" w:eastAsia="Calibri" w:hAnsi="Arial" w:cs="Times New Roman"/>
        </w:rPr>
        <w:t>onversations</w:t>
      </w:r>
      <w:r w:rsidRPr="00F66F96" w:rsidR="00E56B15">
        <w:rPr>
          <w:rFonts w:ascii="Arial" w:eastAsia="Calibri" w:hAnsi="Arial" w:cs="Times New Roman"/>
        </w:rPr>
        <w:t>’</w:t>
      </w:r>
      <w:r w:rsidRPr="00F66F96">
        <w:rPr>
          <w:rFonts w:ascii="Arial" w:eastAsia="Calibri" w:hAnsi="Arial" w:cs="Times New Roman"/>
        </w:rPr>
        <w:t xml:space="preserve"> </w:t>
      </w:r>
      <w:r w:rsidRPr="00F66F96" w:rsidR="00E56B15">
        <w:rPr>
          <w:rFonts w:ascii="Arial" w:eastAsia="Calibri" w:hAnsi="Arial" w:cs="Times New Roman"/>
        </w:rPr>
        <w:t>will take place with</w:t>
      </w:r>
      <w:r w:rsidRPr="00F66F96">
        <w:rPr>
          <w:rFonts w:ascii="Arial" w:eastAsia="Calibri" w:hAnsi="Arial" w:cs="Times New Roman"/>
        </w:rPr>
        <w:t xml:space="preserve"> at least one event</w:t>
      </w:r>
      <w:r w:rsidR="00F66F96">
        <w:rPr>
          <w:rFonts w:ascii="Arial" w:eastAsia="Calibri" w:hAnsi="Arial" w:cs="Times New Roman"/>
        </w:rPr>
        <w:t xml:space="preserve"> to be held</w:t>
      </w:r>
      <w:r w:rsidRPr="00F66F96">
        <w:rPr>
          <w:rFonts w:ascii="Arial" w:eastAsia="Calibri" w:hAnsi="Arial" w:cs="Times New Roman"/>
        </w:rPr>
        <w:t xml:space="preserve"> </w:t>
      </w:r>
      <w:r w:rsidRPr="00F66F96" w:rsidR="00C34B3D">
        <w:rPr>
          <w:rFonts w:ascii="Arial" w:eastAsia="Calibri" w:hAnsi="Arial" w:cs="Times New Roman"/>
        </w:rPr>
        <w:t>in each</w:t>
      </w:r>
      <w:r w:rsidRPr="00F66F96">
        <w:rPr>
          <w:rFonts w:ascii="Arial" w:eastAsia="Calibri" w:hAnsi="Arial" w:cs="Times New Roman"/>
        </w:rPr>
        <w:t xml:space="preserve"> </w:t>
      </w:r>
      <w:r w:rsidRPr="00F66F96" w:rsidR="00E56B15">
        <w:rPr>
          <w:rFonts w:ascii="Arial" w:eastAsia="Calibri" w:hAnsi="Arial" w:cs="Times New Roman"/>
        </w:rPr>
        <w:t>C</w:t>
      </w:r>
      <w:r w:rsidRPr="00F66F96">
        <w:rPr>
          <w:rFonts w:ascii="Arial" w:eastAsia="Calibri" w:hAnsi="Arial" w:cs="Times New Roman"/>
        </w:rPr>
        <w:t xml:space="preserve">ommunity </w:t>
      </w:r>
      <w:r w:rsidRPr="00F66F96" w:rsidR="00E56B15">
        <w:rPr>
          <w:rFonts w:ascii="Arial" w:eastAsia="Calibri" w:hAnsi="Arial" w:cs="Times New Roman"/>
        </w:rPr>
        <w:t>H</w:t>
      </w:r>
      <w:r w:rsidRPr="00F66F96">
        <w:rPr>
          <w:rFonts w:ascii="Arial" w:eastAsia="Calibri" w:hAnsi="Arial" w:cs="Times New Roman"/>
        </w:rPr>
        <w:t xml:space="preserve">ub area. </w:t>
      </w:r>
      <w:r w:rsidR="006E12F4">
        <w:rPr>
          <w:rFonts w:ascii="Arial" w:eastAsia="Calibri" w:hAnsi="Arial" w:cs="Times New Roman"/>
        </w:rPr>
        <w:t xml:space="preserve">This will give </w:t>
      </w:r>
      <w:r w:rsidRPr="00F66F96" w:rsidR="006E12F4">
        <w:rPr>
          <w:rFonts w:ascii="Arial" w:eastAsia="Calibri" w:hAnsi="Arial" w:cs="Times New Roman"/>
        </w:rPr>
        <w:t xml:space="preserve">residents the opportunity to get to know who represents them </w:t>
      </w:r>
      <w:r w:rsidR="006E12F4">
        <w:rPr>
          <w:rFonts w:ascii="Arial" w:eastAsia="Calibri" w:hAnsi="Arial" w:cs="Times New Roman"/>
        </w:rPr>
        <w:t xml:space="preserve">through their Community Hub </w:t>
      </w:r>
      <w:r w:rsidRPr="00F66F96" w:rsidR="006E12F4">
        <w:rPr>
          <w:rFonts w:ascii="Arial" w:eastAsia="Calibri" w:hAnsi="Arial" w:cs="Times New Roman"/>
        </w:rPr>
        <w:t>and have a chat with their local Elected Members in an informal, friendly setting</w:t>
      </w:r>
      <w:r>
        <w:rPr>
          <w:rFonts w:ascii="Arial" w:eastAsia="Calibri" w:hAnsi="Arial" w:cs="Times New Roman"/>
        </w:rPr>
        <w:t>.</w:t>
      </w:r>
    </w:p>
    <w:p w:rsidR="00BF28D0" w:rsidRPr="00F66F96" w:rsidP="003D37DF" w14:paraId="178534BB" w14:textId="04F44EC5">
      <w:pPr>
        <w:pStyle w:val="ListParagraph"/>
        <w:spacing w:after="0"/>
        <w:ind w:left="567"/>
        <w:rPr>
          <w:rFonts w:ascii="Arial" w:eastAsia="Calibri" w:hAnsi="Arial" w:cs="Times New Roman"/>
        </w:rPr>
      </w:pPr>
    </w:p>
    <w:p w:rsidR="00A874C1" w:rsidRPr="00F66F96" w:rsidP="006904AD" w14:paraId="2E895C66" w14:textId="6601DFAB">
      <w:pPr>
        <w:pStyle w:val="ListParagraph"/>
        <w:numPr>
          <w:ilvl w:val="0"/>
          <w:numId w:val="1"/>
        </w:numPr>
        <w:spacing w:after="0" w:line="240" w:lineRule="auto"/>
        <w:ind w:left="567" w:hanging="567"/>
        <w:rPr>
          <w:rFonts w:ascii="Arial" w:eastAsia="Calibri" w:hAnsi="Arial" w:cs="Times New Roman"/>
        </w:rPr>
      </w:pPr>
      <w:r w:rsidRPr="00F66F96">
        <w:rPr>
          <w:rFonts w:ascii="Arial" w:eastAsia="Calibri" w:hAnsi="Arial" w:cs="Times New Roman"/>
        </w:rPr>
        <w:t>A</w:t>
      </w:r>
      <w:r w:rsidRPr="00F66F96" w:rsidR="000038C4">
        <w:rPr>
          <w:rFonts w:ascii="Arial" w:eastAsia="Calibri" w:hAnsi="Arial" w:cs="Times New Roman"/>
        </w:rPr>
        <w:t xml:space="preserve"> Youth Development Officer </w:t>
      </w:r>
      <w:r w:rsidRPr="00F66F96">
        <w:rPr>
          <w:rFonts w:ascii="Arial" w:eastAsia="Calibri" w:hAnsi="Arial" w:cs="Times New Roman"/>
        </w:rPr>
        <w:t xml:space="preserve">has been </w:t>
      </w:r>
      <w:r w:rsidRPr="00F66F96" w:rsidR="0084160C">
        <w:rPr>
          <w:rFonts w:ascii="Arial" w:eastAsia="Calibri" w:hAnsi="Arial" w:cs="Times New Roman"/>
        </w:rPr>
        <w:t xml:space="preserve">appointed and </w:t>
      </w:r>
      <w:r w:rsidRPr="00F66F96">
        <w:rPr>
          <w:rFonts w:ascii="Arial" w:eastAsia="Calibri" w:hAnsi="Arial" w:cs="Times New Roman"/>
        </w:rPr>
        <w:t>started in</w:t>
      </w:r>
      <w:r w:rsidRPr="00F66F96" w:rsidR="00923FD6">
        <w:rPr>
          <w:rFonts w:ascii="Arial" w:eastAsia="Calibri" w:hAnsi="Arial" w:cs="Times New Roman"/>
        </w:rPr>
        <w:t xml:space="preserve"> the role</w:t>
      </w:r>
      <w:r w:rsidRPr="00F66F96">
        <w:rPr>
          <w:rFonts w:ascii="Arial" w:eastAsia="Calibri" w:hAnsi="Arial" w:cs="Times New Roman"/>
        </w:rPr>
        <w:t xml:space="preserve"> </w:t>
      </w:r>
      <w:r w:rsidRPr="00F66F96" w:rsidR="00923FD6">
        <w:rPr>
          <w:rFonts w:ascii="Arial" w:eastAsia="Calibri" w:hAnsi="Arial" w:cs="Times New Roman"/>
        </w:rPr>
        <w:t xml:space="preserve">in </w:t>
      </w:r>
      <w:r w:rsidRPr="00F66F96">
        <w:rPr>
          <w:rFonts w:ascii="Arial" w:eastAsia="Calibri" w:hAnsi="Arial" w:cs="Times New Roman"/>
        </w:rPr>
        <w:t>September</w:t>
      </w:r>
      <w:r w:rsidRPr="00F66F96" w:rsidR="00923FD6">
        <w:rPr>
          <w:rFonts w:ascii="Arial" w:eastAsia="Calibri" w:hAnsi="Arial" w:cs="Times New Roman"/>
        </w:rPr>
        <w:t xml:space="preserve"> 2022</w:t>
      </w:r>
      <w:r w:rsidRPr="00F66F96">
        <w:rPr>
          <w:rFonts w:ascii="Arial" w:eastAsia="Calibri" w:hAnsi="Arial" w:cs="Times New Roman"/>
        </w:rPr>
        <w:t xml:space="preserve"> providing specialist </w:t>
      </w:r>
      <w:r w:rsidRPr="00F66F96" w:rsidR="000038C4">
        <w:rPr>
          <w:rFonts w:ascii="Arial" w:eastAsia="Calibri" w:hAnsi="Arial" w:cs="Times New Roman"/>
        </w:rPr>
        <w:t xml:space="preserve">support </w:t>
      </w:r>
      <w:r w:rsidRPr="00F66F96">
        <w:rPr>
          <w:rFonts w:ascii="Arial" w:eastAsia="Calibri" w:hAnsi="Arial" w:cs="Times New Roman"/>
        </w:rPr>
        <w:t xml:space="preserve">to </w:t>
      </w:r>
      <w:r w:rsidRPr="00F66F96" w:rsidR="000038C4">
        <w:rPr>
          <w:rFonts w:ascii="Arial" w:eastAsia="Calibri" w:hAnsi="Arial" w:cs="Times New Roman"/>
        </w:rPr>
        <w:t>the Youth Council</w:t>
      </w:r>
      <w:r w:rsidRPr="00F66F96" w:rsidR="00923FD6">
        <w:rPr>
          <w:rFonts w:ascii="Arial" w:eastAsia="Calibri" w:hAnsi="Arial" w:cs="Times New Roman"/>
        </w:rPr>
        <w:t>,</w:t>
      </w:r>
      <w:r w:rsidRPr="00F66F96" w:rsidR="0084160C">
        <w:rPr>
          <w:rFonts w:ascii="Arial" w:eastAsia="Calibri" w:hAnsi="Arial" w:cs="Times New Roman"/>
        </w:rPr>
        <w:t xml:space="preserve"> </w:t>
      </w:r>
      <w:r w:rsidR="00F66F96">
        <w:rPr>
          <w:rFonts w:ascii="Arial" w:eastAsia="Calibri" w:hAnsi="Arial" w:cs="Times New Roman"/>
        </w:rPr>
        <w:t xml:space="preserve">and </w:t>
      </w:r>
      <w:r w:rsidRPr="00F66F96" w:rsidR="0084160C">
        <w:rPr>
          <w:rFonts w:ascii="Arial" w:eastAsia="Calibri" w:hAnsi="Arial" w:cs="Times New Roman"/>
        </w:rPr>
        <w:t xml:space="preserve">ensuring it has a long-term and sustainable way for involving young people with the council and the local communities. </w:t>
      </w:r>
      <w:r w:rsidR="006E12F4">
        <w:rPr>
          <w:rFonts w:ascii="Arial" w:eastAsia="Calibri" w:hAnsi="Arial" w:cs="Times New Roman"/>
        </w:rPr>
        <w:t xml:space="preserve">Regular </w:t>
      </w:r>
      <w:r w:rsidRPr="00F66F96">
        <w:rPr>
          <w:rFonts w:ascii="Arial" w:eastAsia="Calibri" w:hAnsi="Arial" w:cs="Times New Roman"/>
        </w:rPr>
        <w:t>meeting</w:t>
      </w:r>
      <w:r w:rsidRPr="00F66F96" w:rsidR="00923FD6">
        <w:rPr>
          <w:rFonts w:ascii="Arial" w:eastAsia="Calibri" w:hAnsi="Arial" w:cs="Times New Roman"/>
        </w:rPr>
        <w:t>s</w:t>
      </w:r>
      <w:r w:rsidRPr="00F66F96">
        <w:rPr>
          <w:rFonts w:ascii="Arial" w:eastAsia="Calibri" w:hAnsi="Arial" w:cs="Times New Roman"/>
        </w:rPr>
        <w:t xml:space="preserve"> with the </w:t>
      </w:r>
      <w:r w:rsidRPr="00F66F96" w:rsidR="00923FD6">
        <w:rPr>
          <w:rFonts w:ascii="Arial" w:eastAsia="Calibri" w:hAnsi="Arial" w:cs="Times New Roman"/>
        </w:rPr>
        <w:t>Y</w:t>
      </w:r>
      <w:r w:rsidRPr="00F66F96">
        <w:rPr>
          <w:rFonts w:ascii="Arial" w:eastAsia="Calibri" w:hAnsi="Arial" w:cs="Times New Roman"/>
        </w:rPr>
        <w:t xml:space="preserve">outh Council </w:t>
      </w:r>
      <w:r w:rsidR="006E12F4">
        <w:rPr>
          <w:rFonts w:ascii="Arial" w:eastAsia="Calibri" w:hAnsi="Arial" w:cs="Times New Roman"/>
        </w:rPr>
        <w:t xml:space="preserve">have continued </w:t>
      </w:r>
      <w:r w:rsidRPr="00F66F96">
        <w:rPr>
          <w:rFonts w:ascii="Arial" w:eastAsia="Calibri" w:hAnsi="Arial" w:cs="Times New Roman"/>
        </w:rPr>
        <w:t>and an end of year celebra</w:t>
      </w:r>
      <w:r w:rsidRPr="00F66F96">
        <w:rPr>
          <w:rFonts w:ascii="Arial" w:eastAsia="Calibri" w:hAnsi="Arial" w:cs="Times New Roman"/>
        </w:rPr>
        <w:t>tion took place in July</w:t>
      </w:r>
      <w:r w:rsidRPr="00F66F96" w:rsidR="00923FD6">
        <w:rPr>
          <w:rFonts w:ascii="Arial" w:eastAsia="Calibri" w:hAnsi="Arial" w:cs="Times New Roman"/>
        </w:rPr>
        <w:t xml:space="preserve"> </w:t>
      </w:r>
      <w:r w:rsidR="00F66F96">
        <w:rPr>
          <w:rFonts w:ascii="Arial" w:eastAsia="Calibri" w:hAnsi="Arial" w:cs="Times New Roman"/>
        </w:rPr>
        <w:t>2022</w:t>
      </w:r>
      <w:r w:rsidR="006E12F4">
        <w:rPr>
          <w:rFonts w:ascii="Arial" w:eastAsia="Calibri" w:hAnsi="Arial" w:cs="Times New Roman"/>
        </w:rPr>
        <w:t>.</w:t>
      </w:r>
      <w:r w:rsidRPr="00F66F96">
        <w:rPr>
          <w:rFonts w:ascii="Arial" w:eastAsia="Calibri" w:hAnsi="Arial" w:cs="Times New Roman"/>
        </w:rPr>
        <w:t xml:space="preserve"> </w:t>
      </w:r>
      <w:r w:rsidRPr="00F66F96" w:rsidR="00923FD6">
        <w:rPr>
          <w:rFonts w:ascii="Arial" w:eastAsia="Calibri" w:hAnsi="Arial" w:cs="Times New Roman"/>
        </w:rPr>
        <w:t xml:space="preserve">In quarter three, further work will be undertaken with the Youth Council to develop the projects under the </w:t>
      </w:r>
      <w:r w:rsidR="00F66F96">
        <w:rPr>
          <w:rFonts w:ascii="Arial" w:eastAsia="Calibri" w:hAnsi="Arial" w:cs="Times New Roman"/>
        </w:rPr>
        <w:t xml:space="preserve">Youth </w:t>
      </w:r>
      <w:r w:rsidRPr="00F66F96" w:rsidR="00923FD6">
        <w:rPr>
          <w:rFonts w:ascii="Arial" w:eastAsia="Calibri" w:hAnsi="Arial" w:cs="Times New Roman"/>
        </w:rPr>
        <w:t>Council</w:t>
      </w:r>
      <w:r w:rsidR="00F66F96">
        <w:rPr>
          <w:rFonts w:ascii="Arial" w:eastAsia="Calibri" w:hAnsi="Arial" w:cs="Times New Roman"/>
        </w:rPr>
        <w:t>’</w:t>
      </w:r>
      <w:r w:rsidRPr="00F66F96" w:rsidR="00923FD6">
        <w:rPr>
          <w:rFonts w:ascii="Arial" w:eastAsia="Calibri" w:hAnsi="Arial" w:cs="Times New Roman"/>
        </w:rPr>
        <w:t>s chosen themes of focus (Mental Health, Black, Asian, and Minority Ethnic (BAME), Veterans, Foodbanks and Knife Crime). A report will be presented to Cabinet to outline and agree the future approach to the Youth Council.</w:t>
      </w:r>
    </w:p>
    <w:p w:rsidR="00D22D90" w:rsidRPr="00F66F96" w:rsidP="00F66F96" w14:paraId="10300EAE" w14:textId="77777777">
      <w:pPr>
        <w:pStyle w:val="ListParagraph"/>
        <w:spacing w:after="0"/>
        <w:ind w:left="360"/>
        <w:rPr>
          <w:rFonts w:ascii="Arial" w:eastAsia="Calibri" w:hAnsi="Arial" w:cs="Times New Roman"/>
        </w:rPr>
      </w:pPr>
    </w:p>
    <w:p w:rsidR="00D22D90" w:rsidRPr="00F66F96" w:rsidP="006904AD" w14:paraId="0A3FBEA9" w14:textId="40C899BB">
      <w:pPr>
        <w:pStyle w:val="ListParagraph"/>
        <w:numPr>
          <w:ilvl w:val="0"/>
          <w:numId w:val="1"/>
        </w:numPr>
        <w:spacing w:after="0" w:line="240" w:lineRule="auto"/>
        <w:ind w:left="567" w:hanging="567"/>
        <w:rPr>
          <w:rFonts w:ascii="Arial" w:eastAsia="Calibri" w:hAnsi="Arial" w:cs="Times New Roman"/>
        </w:rPr>
      </w:pPr>
      <w:r w:rsidRPr="00F66F96">
        <w:rPr>
          <w:rFonts w:ascii="Arial" w:eastAsia="Calibri" w:hAnsi="Arial" w:cs="Times New Roman"/>
        </w:rPr>
        <w:t xml:space="preserve">The </w:t>
      </w:r>
      <w:r w:rsidRPr="00F66F96" w:rsidR="009D2329">
        <w:rPr>
          <w:rFonts w:ascii="Arial" w:eastAsia="Calibri" w:hAnsi="Arial" w:cs="Times New Roman"/>
        </w:rPr>
        <w:t>v</w:t>
      </w:r>
      <w:r w:rsidRPr="00F66F96">
        <w:rPr>
          <w:rFonts w:ascii="Arial" w:eastAsia="Calibri" w:hAnsi="Arial" w:cs="Times New Roman"/>
        </w:rPr>
        <w:t xml:space="preserve">isitor offer </w:t>
      </w:r>
      <w:r w:rsidRPr="00F66F96" w:rsidR="009D2329">
        <w:rPr>
          <w:rFonts w:ascii="Arial" w:eastAsia="Calibri" w:hAnsi="Arial" w:cs="Times New Roman"/>
        </w:rPr>
        <w:t>in South Ribble has progressed with the launch of the Discover South Ribble</w:t>
      </w:r>
      <w:r w:rsidRPr="00F66F96" w:rsidR="000242E8">
        <w:rPr>
          <w:rFonts w:ascii="Arial" w:eastAsia="Calibri" w:hAnsi="Arial" w:cs="Times New Roman"/>
        </w:rPr>
        <w:t xml:space="preserve"> </w:t>
      </w:r>
      <w:r w:rsidR="006E12F4">
        <w:rPr>
          <w:rFonts w:ascii="Arial" w:eastAsia="Calibri" w:hAnsi="Arial" w:cs="Times New Roman"/>
        </w:rPr>
        <w:t xml:space="preserve">brand and </w:t>
      </w:r>
      <w:r w:rsidRPr="00F66F96" w:rsidR="000242E8">
        <w:rPr>
          <w:rFonts w:ascii="Arial" w:eastAsia="Calibri" w:hAnsi="Arial" w:cs="Times New Roman"/>
        </w:rPr>
        <w:t>website. The website will be a hub for all</w:t>
      </w:r>
      <w:r w:rsidR="00F66F96">
        <w:rPr>
          <w:rFonts w:ascii="Arial" w:eastAsia="Calibri" w:hAnsi="Arial" w:cs="Times New Roman"/>
        </w:rPr>
        <w:t xml:space="preserve"> the</w:t>
      </w:r>
      <w:r w:rsidRPr="00F66F96" w:rsidR="000242E8">
        <w:rPr>
          <w:rFonts w:ascii="Arial" w:eastAsia="Calibri" w:hAnsi="Arial" w:cs="Times New Roman"/>
        </w:rPr>
        <w:t xml:space="preserve"> things to see and do across the borough, highlighting the very best that South Ribble has to offer including places to eat, drink, stay and what’s on (events). In addition to the website launch, events such as Longton Live and Taste of Leyland have been promoted via the Discover South Ribble social media accounts.</w:t>
      </w:r>
      <w:r w:rsidRPr="00F66F96" w:rsidR="00CC7E2D">
        <w:rPr>
          <w:rFonts w:ascii="Arial" w:eastAsia="Calibri" w:hAnsi="Arial" w:cs="Times New Roman"/>
        </w:rPr>
        <w:t xml:space="preserve"> The project has continued to work with stakeholders to help supply content to expand the Discover South Ribble Website and grow the engagement on social media. Over the next quarter, the project will expand the website, launch a stakeholder </w:t>
      </w:r>
      <w:r w:rsidRPr="00F66F96" w:rsidR="006904AD">
        <w:rPr>
          <w:rFonts w:ascii="Arial" w:eastAsia="Calibri" w:hAnsi="Arial" w:cs="Times New Roman"/>
        </w:rPr>
        <w:t>newsletter,</w:t>
      </w:r>
      <w:r w:rsidRPr="00F66F96" w:rsidR="00CC7E2D">
        <w:rPr>
          <w:rFonts w:ascii="Arial" w:eastAsia="Calibri" w:hAnsi="Arial" w:cs="Times New Roman"/>
        </w:rPr>
        <w:t xml:space="preserve"> and commence the development of </w:t>
      </w:r>
      <w:r w:rsidR="006904AD">
        <w:rPr>
          <w:rFonts w:ascii="Arial" w:eastAsia="Calibri" w:hAnsi="Arial" w:cs="Times New Roman"/>
        </w:rPr>
        <w:t>a</w:t>
      </w:r>
      <w:r w:rsidRPr="00F66F96" w:rsidR="00CC7E2D">
        <w:rPr>
          <w:rFonts w:ascii="Arial" w:eastAsia="Calibri" w:hAnsi="Arial" w:cs="Times New Roman"/>
        </w:rPr>
        <w:t xml:space="preserve"> South Ribble 5 year </w:t>
      </w:r>
      <w:r w:rsidR="006904AD">
        <w:rPr>
          <w:rFonts w:ascii="Arial" w:eastAsia="Calibri" w:hAnsi="Arial" w:cs="Times New Roman"/>
        </w:rPr>
        <w:t>T</w:t>
      </w:r>
      <w:r w:rsidRPr="00F66F96" w:rsidR="00CC7E2D">
        <w:rPr>
          <w:rFonts w:ascii="Arial" w:eastAsia="Calibri" w:hAnsi="Arial" w:cs="Times New Roman"/>
        </w:rPr>
        <w:t xml:space="preserve">ourism </w:t>
      </w:r>
      <w:r w:rsidR="006904AD">
        <w:rPr>
          <w:rFonts w:ascii="Arial" w:eastAsia="Calibri" w:hAnsi="Arial" w:cs="Times New Roman"/>
        </w:rPr>
        <w:t>S</w:t>
      </w:r>
      <w:r w:rsidRPr="00F66F96" w:rsidR="00CC7E2D">
        <w:rPr>
          <w:rFonts w:ascii="Arial" w:eastAsia="Calibri" w:hAnsi="Arial" w:cs="Times New Roman"/>
        </w:rPr>
        <w:t xml:space="preserve">trategy. </w:t>
      </w:r>
    </w:p>
    <w:p w:rsidR="00CC7E2D" w:rsidP="00C042E8" w14:paraId="42165574" w14:textId="6DD92C1D">
      <w:pPr>
        <w:spacing w:after="0" w:line="240" w:lineRule="auto"/>
        <w:rPr>
          <w:rFonts w:eastAsia="Times New Roman" w:cstheme="minorHAnsi"/>
          <w:b/>
          <w:bCs/>
          <w:lang w:eastAsia="en-GB"/>
        </w:rPr>
      </w:pPr>
    </w:p>
    <w:p w:rsidR="006904AD" w:rsidP="00C042E8" w14:paraId="200AF99A" w14:textId="77777777">
      <w:pPr>
        <w:spacing w:after="0" w:line="240" w:lineRule="auto"/>
        <w:rPr>
          <w:rFonts w:eastAsia="Times New Roman" w:cstheme="minorHAnsi"/>
          <w:b/>
          <w:bCs/>
          <w:lang w:eastAsia="en-GB"/>
        </w:rPr>
        <w:sectPr w:rsidSect="00D4431F">
          <w:pgSz w:w="11906" w:h="16838"/>
          <w:pgMar w:top="1440" w:right="1440" w:bottom="1440" w:left="1440" w:header="708" w:footer="708" w:gutter="0"/>
          <w:cols w:space="708"/>
          <w:docGrid w:linePitch="360"/>
        </w:sectPr>
      </w:pPr>
    </w:p>
    <w:p w:rsidR="000B2C94" w:rsidRPr="00BD042B" w:rsidP="00BD042B" w14:paraId="259DCF4E" w14:textId="77777777">
      <w:pPr>
        <w:spacing w:after="0" w:line="240" w:lineRule="auto"/>
        <w:rPr>
          <w:rFonts w:eastAsia="Times New Roman" w:cstheme="minorHAnsi"/>
          <w:b/>
          <w:bCs/>
          <w:lang w:eastAsia="en-GB"/>
        </w:rPr>
      </w:pPr>
      <w:r w:rsidRPr="00BD042B">
        <w:rPr>
          <w:rFonts w:eastAsia="Times New Roman" w:cstheme="minorHAnsi"/>
          <w:b/>
          <w:bCs/>
          <w:lang w:eastAsia="en-GB"/>
        </w:rPr>
        <w:t xml:space="preserve">Performance of key projects </w:t>
      </w:r>
    </w:p>
    <w:p w:rsidR="000B2C94" w:rsidRPr="000B2C94" w:rsidP="00BD042B" w14:paraId="32269D2F" w14:textId="77777777">
      <w:pPr>
        <w:pStyle w:val="ListParagraph"/>
        <w:spacing w:after="0" w:line="240" w:lineRule="auto"/>
        <w:ind w:left="360"/>
        <w:rPr>
          <w:rFonts w:eastAsia="Times New Roman" w:cstheme="minorHAnsi"/>
          <w:b/>
          <w:bCs/>
          <w:lang w:eastAsia="en-GB"/>
        </w:rPr>
      </w:pPr>
    </w:p>
    <w:p w:rsidR="000B2C94" w:rsidRPr="00BD042B" w:rsidP="00BD042B" w14:paraId="0E68D03F" w14:textId="77777777">
      <w:pPr>
        <w:pStyle w:val="ListParagraph"/>
        <w:spacing w:after="0" w:line="240" w:lineRule="auto"/>
        <w:ind w:left="360"/>
        <w:rPr>
          <w:rFonts w:eastAsia="Times New Roman" w:cstheme="minorHAnsi"/>
          <w:b/>
          <w:bCs/>
          <w:lang w:eastAsia="en-GB"/>
        </w:rPr>
      </w:pPr>
      <w:r>
        <w:rPr>
          <w:noProof/>
          <w:lang w:eastAsia="en-GB"/>
        </w:rPr>
        <mc:AlternateContent>
          <mc:Choice Requires="wpg">
            <w:drawing>
              <wp:inline distT="0" distB="0" distL="0" distR="0">
                <wp:extent cx="6035962" cy="1088761"/>
                <wp:effectExtent l="0" t="0" r="0" b="0"/>
                <wp:docPr id="30" name="Group 30"/>
                <wp:cNvGraphicFramePr/>
                <a:graphic xmlns:a="http://schemas.openxmlformats.org/drawingml/2006/main">
                  <a:graphicData uri="http://schemas.microsoft.com/office/word/2010/wordprocessingGroup">
                    <wpg:wgp xmlns:wpg="http://schemas.microsoft.com/office/word/2010/wordprocessingGroup">
                      <wpg:cNvGrpSpPr/>
                      <wpg:grpSpPr>
                        <a:xfrm>
                          <a:off x="0" y="0"/>
                          <a:ext cx="6035962" cy="1088761"/>
                          <a:chOff x="0" y="0"/>
                          <a:chExt cx="6035962" cy="1088761"/>
                        </a:xfrm>
                      </wpg:grpSpPr>
                      <wpg:grpSp>
                        <wpg:cNvPr id="31" name="Group 31"/>
                        <wpg:cNvGrpSpPr/>
                        <wpg:grpSpPr>
                          <a:xfrm>
                            <a:off x="0" y="0"/>
                            <a:ext cx="1265555" cy="1088761"/>
                            <a:chOff x="0" y="0"/>
                            <a:chExt cx="1265555" cy="1088761"/>
                          </a:xfrm>
                        </wpg:grpSpPr>
                        <wps:wsp xmlns:wps="http://schemas.microsoft.com/office/word/2010/wordprocessingShape">
                          <wps:cNvPr id="224" name="Oval 107"/>
                          <wps:cNvSpPr>
                            <a:spLocks noChangeArrowheads="1"/>
                          </wps:cNvSpPr>
                          <wps:spPr bwMode="auto">
                            <a:xfrm>
                              <a:off x="94890" y="8626"/>
                              <a:ext cx="1080135" cy="1080135"/>
                            </a:xfrm>
                            <a:prstGeom prst="ellipse">
                              <a:avLst/>
                            </a:prstGeom>
                            <a:solidFill>
                              <a:schemeClr val="accent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25" name="Group 225"/>
                          <wpg:cNvGrpSpPr/>
                          <wpg:grpSpPr>
                            <a:xfrm>
                              <a:off x="0" y="0"/>
                              <a:ext cx="1265555" cy="871220"/>
                              <a:chOff x="0" y="0"/>
                              <a:chExt cx="1265555" cy="871269"/>
                            </a:xfrm>
                          </wpg:grpSpPr>
                          <wps:wsp xmlns:wps="http://schemas.microsoft.com/office/word/2010/wordprocessingShape">
                            <wps:cNvPr id="226"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B81E90" w:rsidP="000B2C94" w14:paraId="01465372" w14:textId="77777777">
                                  <w:pPr>
                                    <w:jc w:val="center"/>
                                    <w:rPr>
                                      <w:b/>
                                      <w:bCs/>
                                      <w:color w:val="FFFFFF"/>
                                      <w:sz w:val="52"/>
                                      <w:szCs w:val="44"/>
                                      <w:lang w:val="en-US"/>
                                    </w:rPr>
                                  </w:pPr>
                                  <w:r>
                                    <w:rPr>
                                      <w:b/>
                                      <w:bCs/>
                                      <w:color w:val="FFFFFF"/>
                                      <w:sz w:val="52"/>
                                      <w:szCs w:val="44"/>
                                      <w:lang w:val="en-US"/>
                                    </w:rPr>
                                    <w:t>1</w:t>
                                  </w:r>
                                </w:p>
                              </w:txbxContent>
                            </wps:txbx>
                            <wps:bodyPr rot="0" vert="horz" wrap="square" anchor="t" anchorCtr="0" upright="1"/>
                          </wps:wsp>
                          <wps:wsp xmlns:wps="http://schemas.microsoft.com/office/word/2010/wordprocessingShape">
                            <wps:cNvPr id="239"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0B2C94" w14:paraId="14907E36"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240" name="Group 240"/>
                        <wpg:cNvGrpSpPr/>
                        <wpg:grpSpPr>
                          <a:xfrm>
                            <a:off x="1595886" y="8626"/>
                            <a:ext cx="1265555" cy="1080135"/>
                            <a:chOff x="0" y="0"/>
                            <a:chExt cx="1265555" cy="1080135"/>
                          </a:xfrm>
                        </wpg:grpSpPr>
                        <wps:wsp xmlns:wps="http://schemas.microsoft.com/office/word/2010/wordprocessingShape">
                          <wps:cNvPr id="241" name="Oval 105"/>
                          <wps:cNvSpPr>
                            <a:spLocks noChangeArrowheads="1"/>
                          </wps:cNvSpPr>
                          <wps:spPr bwMode="auto">
                            <a:xfrm>
                              <a:off x="86265" y="0"/>
                              <a:ext cx="1080135" cy="1080135"/>
                            </a:xfrm>
                            <a:prstGeom prst="ellipse">
                              <a:avLst/>
                            </a:prstGeom>
                            <a:solidFill>
                              <a:srgbClr val="92D05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42" name="Group 242"/>
                          <wpg:cNvGrpSpPr/>
                          <wpg:grpSpPr>
                            <a:xfrm>
                              <a:off x="0" y="43132"/>
                              <a:ext cx="1265555" cy="871269"/>
                              <a:chOff x="0" y="0"/>
                              <a:chExt cx="1265555" cy="871269"/>
                            </a:xfrm>
                          </wpg:grpSpPr>
                          <wps:wsp xmlns:wps="http://schemas.microsoft.com/office/word/2010/wordprocessingShape">
                            <wps:cNvPr id="243"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0B2C94" w14:paraId="36CF78E0" w14:textId="77777777">
                                  <w:pPr>
                                    <w:jc w:val="center"/>
                                    <w:rPr>
                                      <w:b/>
                                      <w:bCs/>
                                      <w:color w:val="FFFFFF"/>
                                      <w:sz w:val="32"/>
                                      <w:szCs w:val="24"/>
                                      <w:lang w:val="en-US"/>
                                    </w:rPr>
                                  </w:pPr>
                                  <w:r>
                                    <w:rPr>
                                      <w:b/>
                                      <w:bCs/>
                                      <w:color w:val="FFFFFF"/>
                                      <w:sz w:val="52"/>
                                      <w:szCs w:val="44"/>
                                      <w:lang w:val="en-US"/>
                                    </w:rPr>
                                    <w:t>3</w:t>
                                  </w:r>
                                </w:p>
                              </w:txbxContent>
                            </wps:txbx>
                            <wps:bodyPr rot="0" vert="horz" wrap="square" anchor="t" anchorCtr="0" upright="1"/>
                          </wps:wsp>
                          <wps:wsp xmlns:wps="http://schemas.microsoft.com/office/word/2010/wordprocessingShape">
                            <wps:cNvPr id="244"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0B2C94" w14:paraId="765FF9C7"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245" name="Group 245"/>
                        <wpg:cNvGrpSpPr/>
                        <wpg:grpSpPr>
                          <a:xfrm>
                            <a:off x="3174520" y="8626"/>
                            <a:ext cx="1265555" cy="1080135"/>
                            <a:chOff x="0" y="0"/>
                            <a:chExt cx="1265555" cy="1080135"/>
                          </a:xfrm>
                        </wpg:grpSpPr>
                        <wps:wsp xmlns:wps="http://schemas.microsoft.com/office/word/2010/wordprocessingShape">
                          <wps:cNvPr id="246" name="Oval 101"/>
                          <wps:cNvSpPr>
                            <a:spLocks noChangeArrowheads="1"/>
                          </wps:cNvSpPr>
                          <wps:spPr bwMode="auto">
                            <a:xfrm>
                              <a:off x="103517" y="0"/>
                              <a:ext cx="1075055" cy="1080135"/>
                            </a:xfrm>
                            <a:prstGeom prst="ellipse">
                              <a:avLst/>
                            </a:prstGeom>
                            <a:solidFill>
                              <a:srgbClr val="EF8F2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47" name="Group 247"/>
                          <wpg:cNvGrpSpPr/>
                          <wpg:grpSpPr>
                            <a:xfrm>
                              <a:off x="0" y="8626"/>
                              <a:ext cx="1265555" cy="871269"/>
                              <a:chOff x="0" y="0"/>
                              <a:chExt cx="1265555" cy="871269"/>
                            </a:xfrm>
                          </wpg:grpSpPr>
                          <wps:wsp xmlns:wps="http://schemas.microsoft.com/office/word/2010/wordprocessingShape">
                            <wps:cNvPr id="248"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0B2C94" w14:paraId="26690813" w14:textId="7777777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xmlns:wps="http://schemas.microsoft.com/office/word/2010/wordprocessingShape">
                            <wps:cNvPr id="249"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0B2C94" w14:paraId="6BCE5921"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250" name="Group 250"/>
                        <wpg:cNvGrpSpPr/>
                        <wpg:grpSpPr>
                          <a:xfrm>
                            <a:off x="4770407" y="8626"/>
                            <a:ext cx="1265555" cy="1080135"/>
                            <a:chOff x="0" y="0"/>
                            <a:chExt cx="1265555" cy="1080135"/>
                          </a:xfrm>
                        </wpg:grpSpPr>
                        <wps:wsp xmlns:wps="http://schemas.microsoft.com/office/word/2010/wordprocessingShape">
                          <wps:cNvPr id="251" name="Oval 102"/>
                          <wps:cNvSpPr>
                            <a:spLocks noChangeArrowheads="1"/>
                          </wps:cNvSpPr>
                          <wps:spPr bwMode="auto">
                            <a:xfrm>
                              <a:off x="86264" y="0"/>
                              <a:ext cx="1075055" cy="1080135"/>
                            </a:xfrm>
                            <a:prstGeom prst="ellipse">
                              <a:avLst/>
                            </a:prstGeom>
                            <a:solidFill>
                              <a:srgbClr val="C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52" name="Group 252"/>
                          <wpg:cNvGrpSpPr/>
                          <wpg:grpSpPr>
                            <a:xfrm>
                              <a:off x="0" y="25879"/>
                              <a:ext cx="1265555" cy="871269"/>
                              <a:chOff x="0" y="0"/>
                              <a:chExt cx="1265555" cy="871269"/>
                            </a:xfrm>
                          </wpg:grpSpPr>
                          <wps:wsp xmlns:wps="http://schemas.microsoft.com/office/word/2010/wordprocessingShape">
                            <wps:cNvPr id="253"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0B2C94" w14:paraId="6CF40F86"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xmlns:wps="http://schemas.microsoft.com/office/word/2010/wordprocessingShape">
                            <wps:cNvPr id="254"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0B2C94" w14:paraId="7A6E877F"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id="Group 30" o:spid="_x0000_i1058" style="width:475.25pt;height:85.75pt;mso-position-horizontal-relative:char;mso-position-vertical-relative:line" coordsize="60359,10887">
                <v:group id="Group 31" o:spid="_x0000_s1059" style="width:12655;height:10887;position:absolute" coordsize="12655,10887">
                  <v:oval id="Oval 107" o:spid="_x0000_s1060" style="width:10802;height:10801;left:948;mso-wrap-style:square;position:absolute;top:86;visibility:visible;v-text-anchor:top" fillcolor="#4f81bd" stroked="f"/>
                  <v:group id="Group 225" o:spid="_x0000_s1061" style="width:12655;height:8712;position:absolute" coordsize="12655,8712">
                    <v:shape id="Text Box 108" o:spid="_x0000_s1062" type="#_x0000_t202" style="width:5175;height:4343;left:3709;mso-wrap-style:square;position:absolute;visibility:visible;v-text-anchor:top" filled="f" stroked="f">
                      <v:textbox>
                        <w:txbxContent>
                          <w:p w:rsidR="00B10C74" w:rsidRPr="00B81E90" w:rsidP="000B2C94" w14:paraId="6ECEE604" w14:textId="77777777">
                            <w:pPr>
                              <w:jc w:val="center"/>
                              <w:rPr>
                                <w:b/>
                                <w:bCs/>
                                <w:color w:val="FFFFFF"/>
                                <w:sz w:val="52"/>
                                <w:szCs w:val="44"/>
                                <w:lang w:val="en-US"/>
                              </w:rPr>
                            </w:pPr>
                            <w:r>
                              <w:rPr>
                                <w:b/>
                                <w:bCs/>
                                <w:color w:val="FFFFFF"/>
                                <w:sz w:val="52"/>
                                <w:szCs w:val="44"/>
                                <w:lang w:val="en-US"/>
                              </w:rPr>
                              <w:t>1</w:t>
                            </w:r>
                          </w:p>
                        </w:txbxContent>
                      </v:textbox>
                    </v:shape>
                    <v:shape id="Text Box 106" o:spid="_x0000_s1063" type="#_x0000_t202" style="width:12655;height:4658;mso-wrap-style:square;position:absolute;top:4054;visibility:visible;v-text-anchor:top" filled="f" fillcolor="#9bbb59" stroked="f">
                      <v:textbox>
                        <w:txbxContent>
                          <w:p w:rsidR="00B10C74" w:rsidRPr="00860986" w:rsidP="000B2C94" w14:paraId="1D6D9306"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240" o:spid="_x0000_s1064" style="width:12656;height:10801;left:15958;position:absolute;top:86" coordsize="12655,10801">
                  <v:oval id="Oval 105" o:spid="_x0000_s1065" style="width:10802;height:10801;left:862;mso-wrap-style:square;position:absolute;visibility:visible;v-text-anchor:top" fillcolor="#92d050" stroked="f"/>
                  <v:group id="Group 242" o:spid="_x0000_s1066" style="width:12655;height:8713;position:absolute;top:431" coordsize="12655,8712">
                    <v:shape id="Text Box 108" o:spid="_x0000_s1067" type="#_x0000_t202" style="width:5175;height:4343;left:3709;mso-wrap-style:square;position:absolute;visibility:visible;v-text-anchor:top" filled="f" stroked="f">
                      <v:textbox>
                        <w:txbxContent>
                          <w:p w:rsidR="00B10C74" w:rsidRPr="00AB23E3" w:rsidP="000B2C94" w14:paraId="0624B4A4" w14:textId="77777777">
                            <w:pPr>
                              <w:jc w:val="center"/>
                              <w:rPr>
                                <w:b/>
                                <w:bCs/>
                                <w:color w:val="FFFFFF"/>
                                <w:sz w:val="32"/>
                                <w:szCs w:val="24"/>
                                <w:lang w:val="en-US"/>
                              </w:rPr>
                            </w:pPr>
                            <w:r>
                              <w:rPr>
                                <w:b/>
                                <w:bCs/>
                                <w:color w:val="FFFFFF"/>
                                <w:sz w:val="52"/>
                                <w:szCs w:val="44"/>
                                <w:lang w:val="en-US"/>
                              </w:rPr>
                              <w:t>3</w:t>
                            </w:r>
                          </w:p>
                        </w:txbxContent>
                      </v:textbox>
                    </v:shape>
                    <v:shape id="Text Box 106" o:spid="_x0000_s1068" type="#_x0000_t202" style="width:12655;height:4658;mso-wrap-style:square;position:absolute;top:4054;visibility:visible;v-text-anchor:top" filled="f" fillcolor="#9bbb59" stroked="f">
                      <v:textbox>
                        <w:txbxContent>
                          <w:p w:rsidR="00B10C74" w:rsidRPr="00860986" w:rsidP="000B2C94" w14:paraId="698EC707"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245" o:spid="_x0000_s1069" style="width:12655;height:10801;left:31745;position:absolute;top:86" coordsize="12655,10801">
                  <v:oval id="Oval 101" o:spid="_x0000_s1070" style="width:10750;height:10801;left:1035;mso-wrap-style:square;position:absolute;visibility:visible;v-text-anchor:top" fillcolor="#ef8f2f" stroked="f"/>
                  <v:group id="Group 247" o:spid="_x0000_s1071" style="width:12655;height:8712;position:absolute;top:86" coordsize="12655,8712">
                    <v:shape id="Text Box 108" o:spid="_x0000_s1072" type="#_x0000_t202" style="width:5175;height:4343;left:3709;mso-wrap-style:square;position:absolute;visibility:visible;v-text-anchor:top" filled="f" stroked="f">
                      <v:textbox>
                        <w:txbxContent>
                          <w:p w:rsidR="00B10C74" w:rsidRPr="00AB23E3" w:rsidP="000B2C94" w14:paraId="281ED6A5" w14:textId="7777777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073" type="#_x0000_t202" style="width:12655;height:4658;mso-wrap-style:square;position:absolute;top:4054;visibility:visible;v-text-anchor:top" filled="f" fillcolor="#9bbb59" stroked="f">
                      <v:textbox>
                        <w:txbxContent>
                          <w:p w:rsidR="00B10C74" w:rsidRPr="00860986" w:rsidP="000B2C94" w14:paraId="58E7C6E8"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250" o:spid="_x0000_s1074" style="width:12655;height:10801;left:47704;position:absolute;top:86" coordsize="12655,10801">
                  <v:oval id="Oval 102" o:spid="_x0000_s1075" style="width:10751;height:10801;left:862;mso-wrap-style:square;position:absolute;visibility:visible;v-text-anchor:top" fillcolor="#c00000" stroked="f"/>
                  <v:group id="Group 252" o:spid="_x0000_s1076" style="width:12655;height:8713;position:absolute;top:258" coordsize="12655,8712">
                    <v:shape id="Text Box 108" o:spid="_x0000_s1077" type="#_x0000_t202" style="width:5175;height:4343;left:3709;mso-wrap-style:square;position:absolute;visibility:visible;v-text-anchor:top" filled="f" stroked="f">
                      <v:textbox>
                        <w:txbxContent>
                          <w:p w:rsidR="00B10C74" w:rsidRPr="00AB23E3" w:rsidP="000B2C94" w14:paraId="60D1170A"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078" type="#_x0000_t202" style="width:12655;height:4658;mso-wrap-style:square;position:absolute;top:4054;visibility:visible;v-text-anchor:top" filled="f" fillcolor="#9bbb59" stroked="f">
                      <v:textbox>
                        <w:txbxContent>
                          <w:p w:rsidR="00B10C74" w:rsidRPr="00860986" w:rsidP="000B2C94" w14:paraId="5DF54DE4"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wrap type="none"/>
                <w10:anchorlock/>
              </v:group>
            </w:pict>
          </mc:Fallback>
        </mc:AlternateContent>
      </w:r>
    </w:p>
    <w:p w:rsidR="003A6C84" w:rsidRPr="00671A57" w:rsidP="003A6C84" w14:paraId="6609AEE4" w14:textId="77777777">
      <w:pPr>
        <w:spacing w:line="240" w:lineRule="auto"/>
      </w:pPr>
    </w:p>
    <w:p w:rsidR="000B2C94" w:rsidRPr="0089406F" w:rsidP="00BF112D" w14:paraId="1C874EE6" w14:textId="257919CA">
      <w:pPr>
        <w:pStyle w:val="ListParagraph"/>
        <w:numPr>
          <w:ilvl w:val="0"/>
          <w:numId w:val="1"/>
        </w:numPr>
        <w:spacing w:after="0" w:line="240" w:lineRule="auto"/>
        <w:ind w:left="567" w:hanging="567"/>
        <w:rPr>
          <w:rFonts w:eastAsia="Times New Roman" w:cstheme="minorHAnsi"/>
          <w:lang w:eastAsia="en-GB"/>
        </w:rPr>
      </w:pPr>
      <w:r w:rsidRPr="0089406F">
        <w:rPr>
          <w:rFonts w:cstheme="minorHAnsi"/>
          <w:bCs/>
          <w:iCs/>
        </w:rPr>
        <w:t xml:space="preserve">There are </w:t>
      </w:r>
      <w:r>
        <w:rPr>
          <w:rFonts w:cstheme="minorHAnsi"/>
          <w:bCs/>
          <w:iCs/>
        </w:rPr>
        <w:t>four</w:t>
      </w:r>
      <w:r w:rsidRPr="0089406F">
        <w:rPr>
          <w:rFonts w:cstheme="minorHAnsi"/>
          <w:bCs/>
          <w:iCs/>
        </w:rPr>
        <w:t xml:space="preserve"> key projects included in the 202</w:t>
      </w:r>
      <w:r>
        <w:rPr>
          <w:rFonts w:cstheme="minorHAnsi"/>
          <w:bCs/>
          <w:iCs/>
        </w:rPr>
        <w:t>2/23</w:t>
      </w:r>
      <w:r w:rsidRPr="0089406F">
        <w:rPr>
          <w:rFonts w:cstheme="minorHAnsi"/>
          <w:bCs/>
          <w:iCs/>
        </w:rPr>
        <w:t xml:space="preserve"> Corporate Strategy under this priority </w:t>
      </w:r>
      <w:r w:rsidR="006E12F4">
        <w:rPr>
          <w:rFonts w:cstheme="minorHAnsi"/>
          <w:bCs/>
          <w:iCs/>
        </w:rPr>
        <w:t xml:space="preserve">at </w:t>
      </w:r>
      <w:r w:rsidRPr="0089406F">
        <w:rPr>
          <w:rFonts w:cstheme="minorHAnsi"/>
          <w:bCs/>
          <w:iCs/>
        </w:rPr>
        <w:t xml:space="preserve">the end of quarter </w:t>
      </w:r>
      <w:r w:rsidR="0064019C">
        <w:rPr>
          <w:rFonts w:cstheme="minorHAnsi"/>
          <w:bCs/>
          <w:iCs/>
        </w:rPr>
        <w:t>two</w:t>
      </w:r>
      <w:r w:rsidR="00E162DE">
        <w:rPr>
          <w:rFonts w:cstheme="minorHAnsi"/>
          <w:bCs/>
          <w:iCs/>
        </w:rPr>
        <w:t xml:space="preserve"> and </w:t>
      </w:r>
      <w:r w:rsidRPr="0089406F">
        <w:rPr>
          <w:rFonts w:cstheme="minorHAnsi"/>
          <w:bCs/>
          <w:iCs/>
        </w:rPr>
        <w:t>overall performance is good.</w:t>
      </w:r>
    </w:p>
    <w:p w:rsidR="000B2C94" w:rsidRPr="0089406F" w:rsidP="00BF112D" w14:paraId="0DEAA0E1" w14:textId="77777777">
      <w:pPr>
        <w:pStyle w:val="ListParagraph"/>
        <w:spacing w:after="0" w:line="240" w:lineRule="auto"/>
        <w:ind w:left="567" w:hanging="567"/>
        <w:rPr>
          <w:rFonts w:eastAsia="Times New Roman" w:cstheme="minorHAnsi"/>
          <w:lang w:eastAsia="en-GB"/>
        </w:rPr>
      </w:pPr>
    </w:p>
    <w:p w:rsidR="000B2C94" w:rsidRPr="006904AD" w:rsidP="00BF112D" w14:paraId="7D2A8A9C" w14:textId="0B867C8F">
      <w:pPr>
        <w:pStyle w:val="ListParagraph"/>
        <w:numPr>
          <w:ilvl w:val="0"/>
          <w:numId w:val="1"/>
        </w:numPr>
        <w:spacing w:after="0" w:line="240" w:lineRule="auto"/>
        <w:ind w:left="567" w:hanging="567"/>
        <w:rPr>
          <w:rFonts w:ascii="Arial" w:eastAsia="Calibri" w:hAnsi="Arial" w:cs="Times New Roman"/>
        </w:rPr>
      </w:pPr>
      <w:r w:rsidRPr="006904AD">
        <w:rPr>
          <w:rFonts w:ascii="Arial" w:eastAsia="Calibri" w:hAnsi="Arial" w:cs="Times New Roman"/>
        </w:rPr>
        <w:t>One</w:t>
      </w:r>
      <w:r w:rsidRPr="006904AD" w:rsidR="0018682D">
        <w:rPr>
          <w:rFonts w:ascii="Arial" w:eastAsia="Calibri" w:hAnsi="Arial" w:cs="Times New Roman"/>
        </w:rPr>
        <w:t xml:space="preserve"> </w:t>
      </w:r>
      <w:r w:rsidRPr="006904AD">
        <w:rPr>
          <w:rFonts w:ascii="Arial" w:eastAsia="Calibri" w:hAnsi="Arial" w:cs="Times New Roman"/>
        </w:rPr>
        <w:t>project</w:t>
      </w:r>
      <w:r w:rsidRPr="006904AD" w:rsidR="0018682D">
        <w:rPr>
          <w:rFonts w:ascii="Arial" w:eastAsia="Calibri" w:hAnsi="Arial" w:cs="Times New Roman"/>
        </w:rPr>
        <w:t xml:space="preserve"> </w:t>
      </w:r>
      <w:r w:rsidRPr="006904AD">
        <w:rPr>
          <w:rFonts w:ascii="Arial" w:eastAsia="Calibri" w:hAnsi="Arial" w:cs="Times New Roman"/>
        </w:rPr>
        <w:t>is</w:t>
      </w:r>
      <w:r w:rsidRPr="006904AD" w:rsidR="0018682D">
        <w:rPr>
          <w:rFonts w:ascii="Arial" w:eastAsia="Calibri" w:hAnsi="Arial" w:cs="Times New Roman"/>
        </w:rPr>
        <w:t xml:space="preserve"> rated as completed, meaning that all key milestones have now been delivered:</w:t>
      </w:r>
    </w:p>
    <w:p w:rsidR="000B2C94" w:rsidP="00BD042B" w14:paraId="64148FAF" w14:textId="77777777">
      <w:pPr>
        <w:pStyle w:val="ListParagraph"/>
        <w:spacing w:after="0" w:line="240" w:lineRule="auto"/>
        <w:ind w:left="567"/>
        <w:rPr>
          <w:rFonts w:eastAsia="Times New Roman" w:cstheme="minorHAnsi"/>
          <w:lang w:eastAsia="en-GB"/>
        </w:rPr>
      </w:pPr>
    </w:p>
    <w:p w:rsidR="000B2C94" w:rsidRPr="00BD042B" w:rsidP="00BD042B" w14:paraId="03D92716" w14:textId="03D70E35">
      <w:pPr>
        <w:pStyle w:val="ListParagraph"/>
        <w:numPr>
          <w:ilvl w:val="0"/>
          <w:numId w:val="10"/>
        </w:numPr>
        <w:spacing w:after="0" w:line="240" w:lineRule="auto"/>
        <w:ind w:left="1276"/>
        <w:rPr>
          <w:rFonts w:eastAsia="Calibri" w:cs="Times New Roman"/>
        </w:rPr>
      </w:pPr>
      <w:r w:rsidRPr="00BD042B">
        <w:rPr>
          <w:rFonts w:eastAsia="Calibri" w:cs="Times New Roman"/>
        </w:rPr>
        <w:t>Deliver Music in the Park 2022 and Queen</w:t>
      </w:r>
      <w:r>
        <w:rPr>
          <w:rFonts w:eastAsia="Calibri" w:cs="Times New Roman"/>
        </w:rPr>
        <w:t>’</w:t>
      </w:r>
      <w:r w:rsidRPr="00BD042B">
        <w:rPr>
          <w:rFonts w:eastAsia="Calibri" w:cs="Times New Roman"/>
        </w:rPr>
        <w:t>s Jubilee Celebrations.</w:t>
      </w:r>
    </w:p>
    <w:p w:rsidR="000B2C94" w:rsidP="00BD042B" w14:paraId="3CBD29CB" w14:textId="77777777">
      <w:pPr>
        <w:pStyle w:val="ListParagraph"/>
        <w:ind w:left="1440"/>
        <w:rPr>
          <w:rFonts w:eastAsia="Times New Roman" w:cstheme="minorHAnsi"/>
          <w:lang w:eastAsia="en-GB"/>
        </w:rPr>
      </w:pPr>
    </w:p>
    <w:p w:rsidR="000B2C94" w:rsidRPr="00BD042B" w:rsidP="00887AE6" w14:paraId="3FF9306E" w14:textId="750C3314">
      <w:pPr>
        <w:pStyle w:val="ListParagraph"/>
        <w:numPr>
          <w:ilvl w:val="0"/>
          <w:numId w:val="1"/>
        </w:numPr>
        <w:spacing w:after="0" w:line="240" w:lineRule="auto"/>
        <w:ind w:left="567" w:hanging="567"/>
        <w:rPr>
          <w:rFonts w:eastAsia="Times New Roman" w:cstheme="minorHAnsi"/>
          <w:lang w:eastAsia="en-GB"/>
        </w:rPr>
      </w:pPr>
      <w:r>
        <w:rPr>
          <w:rFonts w:cstheme="minorHAnsi"/>
          <w:bCs/>
          <w:iCs/>
        </w:rPr>
        <w:t>Three</w:t>
      </w:r>
      <w:r w:rsidRPr="00022EBB" w:rsidR="0018682D">
        <w:rPr>
          <w:rFonts w:cstheme="minorHAnsi"/>
          <w:bCs/>
          <w:iCs/>
        </w:rPr>
        <w:t xml:space="preserve"> projects are rated as green, meaning they are progressing according to timescales and plan: </w:t>
      </w:r>
    </w:p>
    <w:p w:rsidR="00E162DE" w:rsidRPr="00022EBB" w:rsidP="00BD042B" w14:paraId="55C3C413" w14:textId="77777777">
      <w:pPr>
        <w:pStyle w:val="ListParagraph"/>
        <w:spacing w:after="0" w:line="240" w:lineRule="auto"/>
        <w:ind w:left="360"/>
        <w:rPr>
          <w:rFonts w:eastAsia="Times New Roman" w:cstheme="minorHAnsi"/>
          <w:lang w:eastAsia="en-GB"/>
        </w:rPr>
      </w:pPr>
    </w:p>
    <w:p w:rsidR="000B2C94" w:rsidP="00BD042B" w14:paraId="6232B058" w14:textId="4BB16F0C">
      <w:pPr>
        <w:pStyle w:val="ListParagraph"/>
        <w:numPr>
          <w:ilvl w:val="0"/>
          <w:numId w:val="10"/>
        </w:numPr>
        <w:spacing w:after="0" w:line="240" w:lineRule="auto"/>
        <w:ind w:left="1276"/>
        <w:rPr>
          <w:rFonts w:eastAsia="Calibri" w:cs="Times New Roman"/>
        </w:rPr>
      </w:pPr>
      <w:r w:rsidRPr="00BD042B">
        <w:rPr>
          <w:rFonts w:eastAsia="Calibri" w:cs="Times New Roman"/>
        </w:rPr>
        <w:t xml:space="preserve">Review and </w:t>
      </w:r>
      <w:r w:rsidRPr="00BD042B">
        <w:rPr>
          <w:rFonts w:eastAsia="Calibri" w:cs="Times New Roman"/>
        </w:rPr>
        <w:t>enhance the community hubs as a primary way to work closely with residents,</w:t>
      </w:r>
    </w:p>
    <w:p w:rsidR="00AD5417" w:rsidRPr="00AD5417" w:rsidP="00AD5417" w14:paraId="70FDF4ED" w14:textId="3CE47EA5">
      <w:pPr>
        <w:pStyle w:val="ListParagraph"/>
        <w:numPr>
          <w:ilvl w:val="0"/>
          <w:numId w:val="10"/>
        </w:numPr>
        <w:spacing w:after="0" w:line="240" w:lineRule="auto"/>
        <w:ind w:left="1276"/>
        <w:rPr>
          <w:rFonts w:eastAsia="Calibri" w:cs="Times New Roman"/>
        </w:rPr>
      </w:pPr>
      <w:r w:rsidRPr="00AD5417">
        <w:rPr>
          <w:rFonts w:eastAsia="Calibri" w:cs="Times New Roman"/>
        </w:rPr>
        <w:t>Develop the Youth Council to make sure the views of young people are represented,</w:t>
      </w:r>
    </w:p>
    <w:p w:rsidR="000B2C94" w:rsidRPr="00BD042B" w:rsidP="00BD042B" w14:paraId="4DA40BF1" w14:textId="77777777">
      <w:pPr>
        <w:pStyle w:val="ListParagraph"/>
        <w:numPr>
          <w:ilvl w:val="0"/>
          <w:numId w:val="10"/>
        </w:numPr>
        <w:spacing w:after="0" w:line="240" w:lineRule="auto"/>
        <w:ind w:left="1276"/>
        <w:rPr>
          <w:rFonts w:eastAsia="Calibri" w:cs="Times New Roman"/>
        </w:rPr>
      </w:pPr>
      <w:r w:rsidRPr="00BD042B">
        <w:rPr>
          <w:rFonts w:eastAsia="Calibri" w:cs="Times New Roman"/>
        </w:rPr>
        <w:t>Develop the visitor offer in South Ribble.</w:t>
      </w:r>
    </w:p>
    <w:p w:rsidR="000B2C94" w:rsidP="00BD042B" w14:paraId="296AEC93" w14:textId="77777777">
      <w:pPr>
        <w:pStyle w:val="ListParagraph"/>
        <w:ind w:left="1440"/>
        <w:rPr>
          <w:rFonts w:eastAsia="Times New Roman" w:cstheme="minorHAnsi"/>
          <w:lang w:eastAsia="en-GB"/>
        </w:rPr>
      </w:pPr>
    </w:p>
    <w:p w:rsidR="000B2C94" w:rsidRPr="00460D79" w:rsidP="000B2C94" w14:paraId="06029CF2" w14:textId="77777777">
      <w:pPr>
        <w:pStyle w:val="Heading2"/>
        <w:tabs>
          <w:tab w:val="left" w:pos="6375"/>
        </w:tabs>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r>
        <w:rPr>
          <w:rFonts w:asciiTheme="majorHAnsi" w:hAnsiTheme="majorHAnsi" w:cstheme="majorHAnsi"/>
          <w:sz w:val="22"/>
          <w:szCs w:val="22"/>
        </w:rPr>
        <w:tab/>
      </w:r>
      <w:r>
        <w:rPr>
          <w:rFonts w:cstheme="minorHAnsi"/>
          <w:b w:val="0"/>
          <w:bCs w:val="0"/>
          <w:noProof/>
        </w:rPr>
        <mc:AlternateContent>
          <mc:Choice Requires="wpg">
            <w:drawing>
              <wp:inline distT="0" distB="0" distL="0" distR="0">
                <wp:extent cx="6257925" cy="752475"/>
                <wp:effectExtent l="38100" t="38100" r="28575" b="28575"/>
                <wp:docPr id="255" name="Group 255"/>
                <wp:cNvGraphicFramePr/>
                <a:graphic xmlns:a="http://schemas.openxmlformats.org/drawingml/2006/main">
                  <a:graphicData uri="http://schemas.microsoft.com/office/word/2010/wordprocessingGroup">
                    <wpg:wgp xmlns:wpg="http://schemas.microsoft.com/office/word/2010/wordprocessingGroup">
                      <wpg:cNvGrpSpPr/>
                      <wpg:grpSpPr>
                        <a:xfrm>
                          <a:off x="0" y="0"/>
                          <a:ext cx="6257925" cy="752475"/>
                          <a:chOff x="60758" y="58585"/>
                          <a:chExt cx="6258521" cy="678706"/>
                        </a:xfrm>
                      </wpg:grpSpPr>
                      <wpg:grpSp>
                        <wpg:cNvPr id="256" name="Group 256"/>
                        <wpg:cNvGrpSpPr/>
                        <wpg:grpSpPr>
                          <a:xfrm>
                            <a:off x="60758" y="58585"/>
                            <a:ext cx="1968686" cy="678706"/>
                            <a:chOff x="110923" y="51160"/>
                            <a:chExt cx="1971772" cy="657908"/>
                          </a:xfrm>
                        </wpg:grpSpPr>
                        <wps:wsp xmlns:wps="http://schemas.microsoft.com/office/word/2010/wordprocessingShape">
                          <wps:cNvPr id="257"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rsidR="00B10C74" w:rsidRPr="00C400C3" w:rsidP="000B2C94" w14:paraId="1D3B93A9" w14:textId="77777777">
                                <w:pPr>
                                  <w:spacing w:after="0"/>
                                  <w:ind w:left="227"/>
                                  <w:jc w:val="center"/>
                                  <w:rPr>
                                    <w:b/>
                                    <w:color w:val="568424"/>
                                    <w:sz w:val="20"/>
                                    <w:szCs w:val="20"/>
                                  </w:rPr>
                                </w:pPr>
                                <w:r w:rsidRPr="00C400C3">
                                  <w:rPr>
                                    <w:b/>
                                    <w:color w:val="568424"/>
                                    <w:sz w:val="20"/>
                                    <w:szCs w:val="20"/>
                                  </w:rPr>
                                  <w:t xml:space="preserve">Performance is on or </w:t>
                                </w:r>
                                <w:r w:rsidRPr="00C400C3">
                                  <w:rPr>
                                    <w:b/>
                                    <w:color w:val="568424"/>
                                    <w:sz w:val="20"/>
                                    <w:szCs w:val="20"/>
                                  </w:rPr>
                                  <w:t>better than target</w:t>
                                </w:r>
                              </w:p>
                            </w:txbxContent>
                          </wps:txbx>
                          <wps:bodyPr rot="0" vert="horz" wrap="square" anchor="ctr" anchorCtr="0" upright="1"/>
                        </wps:wsp>
                        <wps:wsp xmlns:wps="http://schemas.microsoft.com/office/word/2010/wordprocessingShape">
                          <wps:cNvPr id="258"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fill="norm" h="647700" w="647700" stroke="1">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blurRad="0" dist="23000" dir="5400000" sx="100000" sy="100000" kx="0" ky="0" algn="b" rotWithShape="0">
                                <a:srgbClr val="000000">
                                  <a:alpha val="34998"/>
                                </a:srgbClr>
                              </a:outerShdw>
                            </a:effectLst>
                          </wps:spPr>
                          <wps:txbx>
                            <w:txbxContent>
                              <w:p w:rsidR="00B10C74" w:rsidRPr="00CD1D55" w:rsidP="000B2C94" w14:paraId="2285856B" w14:textId="77777777">
                                <w:pPr>
                                  <w:spacing w:before="320"/>
                                  <w:jc w:val="center"/>
                                  <w:rPr>
                                    <w:b/>
                                    <w:color w:val="FFFFFF"/>
                                    <w:lang w:val="en-US"/>
                                  </w:rPr>
                                </w:pPr>
                                <w:r>
                                  <w:rPr>
                                    <w:b/>
                                    <w:color w:val="FFFFFF"/>
                                    <w:lang w:val="en-US"/>
                                  </w:rPr>
                                  <w:t>2</w:t>
                                </w:r>
                              </w:p>
                            </w:txbxContent>
                          </wps:txbx>
                          <wps:bodyPr rot="0" vert="horz" wrap="square" anchor="ctr" anchorCtr="0" upright="1"/>
                        </wps:wsp>
                      </wpg:grpSp>
                      <wpg:grpSp>
                        <wpg:cNvPr id="259" name="Group 259"/>
                        <wpg:cNvGrpSpPr/>
                        <wpg:grpSpPr>
                          <a:xfrm>
                            <a:off x="2215510" y="123830"/>
                            <a:ext cx="1941079" cy="605821"/>
                            <a:chOff x="121135" y="37328"/>
                            <a:chExt cx="1944347" cy="607276"/>
                          </a:xfrm>
                        </wpg:grpSpPr>
                        <wps:wsp xmlns:wps="http://schemas.microsoft.com/office/word/2010/wordprocessingShape">
                          <wps:cNvPr id="260"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rsidR="00B10C74" w:rsidRPr="00672A2D" w:rsidP="000B2C94" w14:paraId="426EBEFC"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xmlns:wps="http://schemas.microsoft.com/office/word/2010/wordprocessingShape">
                          <wps:cNvPr id="261"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blurRad="0" dist="23000" dir="5400000" sx="100000" sy="100000" kx="0" ky="0" algn="b" rotWithShape="0">
                                <a:srgbClr val="000000">
                                  <a:alpha val="34998"/>
                                </a:srgbClr>
                              </a:outerShdw>
                            </a:effectLst>
                          </wps:spPr>
                          <wps:txbx>
                            <w:txbxContent>
                              <w:p w:rsidR="00B10C74" w:rsidRPr="00770FF6" w:rsidP="000B2C94" w14:paraId="2B7782A9" w14:textId="77777777">
                                <w:pPr>
                                  <w:spacing w:before="60"/>
                                  <w:jc w:val="center"/>
                                  <w:rPr>
                                    <w:b/>
                                    <w:color w:val="FFFFFF"/>
                                    <w:lang w:val="en-US"/>
                                  </w:rPr>
                                </w:pPr>
                                <w:r>
                                  <w:rPr>
                                    <w:b/>
                                    <w:color w:val="FFFFFF"/>
                                    <w:lang w:val="en-US"/>
                                  </w:rPr>
                                  <w:t>0</w:t>
                                </w:r>
                              </w:p>
                            </w:txbxContent>
                          </wps:txbx>
                          <wps:bodyPr rot="0" vert="horz" wrap="square" anchor="ctr" anchorCtr="0" upright="1"/>
                        </wps:wsp>
                      </wpg:grpSp>
                      <wpg:grpSp>
                        <wpg:cNvPr id="262" name="Group 262"/>
                        <wpg:cNvGrpSpPr/>
                        <wpg:grpSpPr>
                          <a:xfrm>
                            <a:off x="4354276" y="58586"/>
                            <a:ext cx="1965003" cy="671065"/>
                            <a:chOff x="80821" y="-45110"/>
                            <a:chExt cx="1967334" cy="636979"/>
                          </a:xfrm>
                        </wpg:grpSpPr>
                        <wps:wsp xmlns:wps="http://schemas.microsoft.com/office/word/2010/wordprocessingShape">
                          <wps:cNvPr id="263"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rsidR="00B10C74" w:rsidRPr="00C400C3" w:rsidP="000B2C94" w14:paraId="6FC2282A" w14:textId="77777777">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264" name="Group 81"/>
                          <wpg:cNvGrpSpPr/>
                          <wpg:grpSpPr>
                            <a:xfrm>
                              <a:off x="80821" y="-45110"/>
                              <a:ext cx="508033" cy="497383"/>
                              <a:chOff x="80821" y="-45110"/>
                              <a:chExt cx="508033" cy="497383"/>
                            </a:xfrm>
                          </wpg:grpSpPr>
                          <wps:wsp xmlns:wps="http://schemas.microsoft.com/office/word/2010/wordprocessingShape">
                            <wps:cNvPr id="265"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blurRad="0" dist="23000" dir="5400000" sx="100000" sy="100000" kx="0" ky="0" algn="b" rotWithShape="0">
                                  <a:srgbClr val="000000">
                                    <a:alpha val="34998"/>
                                  </a:srgbClr>
                                </a:outerShdw>
                              </a:effectLst>
                            </wps:spPr>
                            <wps:txbx>
                              <w:txbxContent>
                                <w:p w:rsidR="00B10C74" w:rsidRPr="00AB433C" w:rsidP="000B2C94" w14:paraId="12BAED2D" w14:textId="77777777">
                                  <w:pPr>
                                    <w:rPr>
                                      <w:b/>
                                      <w:color w:val="FFFFFF"/>
                                    </w:rPr>
                                  </w:pPr>
                                </w:p>
                                <w:p w:rsidR="00B10C74" w:rsidRPr="00AB433C" w:rsidP="000B2C94" w14:paraId="28298A3A" w14:textId="77777777">
                                  <w:pPr>
                                    <w:rPr>
                                      <w:b/>
                                      <w:color w:val="FFFFFF"/>
                                    </w:rPr>
                                  </w:pPr>
                                </w:p>
                              </w:txbxContent>
                            </wps:txbx>
                            <wps:bodyPr rot="0" vert="horz" wrap="square" anchor="t" anchorCtr="0" upright="1"/>
                          </wps:wsp>
                          <wps:wsp xmlns:wps="http://schemas.microsoft.com/office/word/2010/wordprocessingShape">
                            <wps:cNvPr id="266" name="Text Box 110"/>
                            <wps:cNvSpPr txBox="1">
                              <a:spLocks noChangeArrowheads="1"/>
                            </wps:cNvSpPr>
                            <wps:spPr bwMode="auto">
                              <a:xfrm>
                                <a:off x="191389" y="112826"/>
                                <a:ext cx="258445" cy="3394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B10C74" w:rsidRPr="00B0312C" w:rsidP="000B2C94" w14:paraId="48F84819" w14:textId="77777777">
                                  <w:pPr>
                                    <w:rPr>
                                      <w:b/>
                                      <w:color w:val="FFFFFF"/>
                                      <w:lang w:val="en-US"/>
                                    </w:rPr>
                                  </w:pPr>
                                  <w:r>
                                    <w:rPr>
                                      <w:b/>
                                      <w:color w:val="FFFFFF"/>
                                      <w:lang w:val="en-US"/>
                                    </w:rPr>
                                    <w:t>1</w:t>
                                  </w:r>
                                </w:p>
                              </w:txbxContent>
                            </wps:txbx>
                            <wps:bodyPr rot="0" vert="horz" wrap="square" anchor="t" anchorCtr="0" upright="1"/>
                          </wps:wsp>
                        </wpg:grpSp>
                      </wpg:grpSp>
                    </wpg:wgp>
                  </a:graphicData>
                </a:graphic>
              </wp:inline>
            </w:drawing>
          </mc:Choice>
          <mc:Fallback>
            <w:pict>
              <v:group id="Group 255" o:spid="_x0000_i1079" style="width:492.75pt;height:59.25pt;mso-position-horizontal-relative:char;mso-position-vertical-relative:line" coordorigin="607,585" coordsize="62585,6787">
                <v:group id="Group 256" o:spid="_x0000_s1080" style="width:19687;height:6787;left:607;position:absolute;top:585" coordorigin="1109,511" coordsize="19717,6579">
                  <v:shape id="Rectangle 73" o:spid="_x0000_s1081" type="#_x0000_t176" style="width:17291;height:4592;flip:x;left:3535;mso-wrap-style:square;position:absolute;top:2498;visibility:visible;v-text-anchor:middle" strokecolor="#92d050" strokeweight="2pt">
                    <v:textbox>
                      <w:txbxContent>
                        <w:p w:rsidR="00B10C74" w:rsidRPr="00C400C3" w:rsidP="000B2C94" w14:paraId="524B3F2E" w14:textId="77777777">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082" style="width:5921;height:5080;left:1109;mso-wrap-style:square;position:absolute;top:511;visibility:visible;v-text-anchor:middle" coordsize="647700,647700" o:spt="100" adj="-11796480,,5400" path="m1,247399l247401,247400l323850,l400299,247400l647699,247399,447547,400299l524000,647698l323850,494795,123700,647698,200153,400299,1,247399xe" fillcolor="#92d050" strokecolor="#92d050">
                    <v:stroke joinstyle="miter"/>
                    <v:shadow on="t" color="black" opacity="22936f" origin=",0.5" offset="0,1.81pt"/>
                    <v:formulas/>
                    <v:path arrowok="t" o:connecttype="custom" o:connectlocs="1,194016;226163,194017;296049,0;365935,194017;592097,194016;409127,313924;479017,507940;296049,388030;113081,507940;182971,313924;1,194016" o:connectangles="0,0,0,0,0,0,0,0,0,0,0" textboxrect="0,0,647700,647700"/>
                    <v:textbox>
                      <w:txbxContent>
                        <w:p w:rsidR="00B10C74" w:rsidRPr="00CD1D55" w:rsidP="000B2C94" w14:paraId="53A470B4" w14:textId="77777777">
                          <w:pPr>
                            <w:spacing w:before="320"/>
                            <w:jc w:val="center"/>
                            <w:rPr>
                              <w:b/>
                              <w:color w:val="FFFFFF"/>
                              <w:lang w:val="en-US"/>
                            </w:rPr>
                          </w:pPr>
                          <w:r>
                            <w:rPr>
                              <w:b/>
                              <w:color w:val="FFFFFF"/>
                              <w:lang w:val="en-US"/>
                            </w:rPr>
                            <w:t>2</w:t>
                          </w:r>
                        </w:p>
                      </w:txbxContent>
                    </v:textbox>
                  </v:shape>
                </v:group>
                <v:group id="Group 259" o:spid="_x0000_s1083" style="width:19410;height:6058;left:22155;position:absolute;top:1238" coordorigin="1211,373" coordsize="19443,6072">
                  <v:roundrect id="Rectangle 67" o:spid="_x0000_s1084" style="width:17290;height:4899;flip:x;left:3364;mso-wrap-style:square;position:absolute;top:1547;visibility:visible;v-text-anchor:middle" arcsize="10923f" strokecolor="#4f81bd" strokeweight="2pt">
                    <v:stroke joinstyle="miter"/>
                    <v:textbox>
                      <w:txbxContent>
                        <w:p w:rsidR="00B10C74" w:rsidRPr="00672A2D" w:rsidP="000B2C94" w14:paraId="5E5F6FB1"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085" style="width:4192;height:4311;left:1211;mso-wrap-style:square;position:absolute;top:373;visibility:visible;v-text-anchor:middle" fillcolor="#0070c0" strokecolor="#4a7ebb">
                    <v:shadow on="t" color="black" opacity="22936f" origin=",0.5" offset="0,1.81pt"/>
                    <v:textbox>
                      <w:txbxContent>
                        <w:p w:rsidR="00B10C74" w:rsidRPr="00770FF6" w:rsidP="000B2C94" w14:paraId="1D29AF9C" w14:textId="77777777">
                          <w:pPr>
                            <w:spacing w:before="60"/>
                            <w:jc w:val="center"/>
                            <w:rPr>
                              <w:b/>
                              <w:color w:val="FFFFFF"/>
                              <w:lang w:val="en-US"/>
                            </w:rPr>
                          </w:pPr>
                          <w:r>
                            <w:rPr>
                              <w:b/>
                              <w:color w:val="FFFFFF"/>
                              <w:lang w:val="en-US"/>
                            </w:rPr>
                            <w:t>0</w:t>
                          </w:r>
                        </w:p>
                      </w:txbxContent>
                    </v:textbox>
                  </v:oval>
                </v:group>
                <v:group id="Group 262" o:spid="_x0000_s1086" style="width:19650;height:6711;left:43542;position:absolute;top:585" coordorigin="808,-451" coordsize="19673,6369">
                  <v:roundrect id="Rectangle 76" o:spid="_x0000_s1087" style="width:17291;height:4647;flip:x;left:3190;mso-wrap-style:square;position:absolute;top:1271;visibility:visible;v-text-anchor:middle" arcsize="10923f" strokecolor="#c00000" strokeweight="2pt">
                    <v:stroke joinstyle="miter"/>
                    <v:textbox>
                      <w:txbxContent>
                        <w:p w:rsidR="00B10C74" w:rsidRPr="00C400C3" w:rsidP="000B2C94" w14:paraId="57C7E7F0" w14:textId="77777777">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088" style="width:5080;height:4973;left:808;position:absolute;top:-451" coordorigin="808,-451" coordsize="5080,4973">
                    <v:shape id="Isosceles Triangle 83" o:spid="_x0000_s1089" type="#_x0000_t5" style="width:5080;height:3928;left:808;mso-wrap-style:square;position:absolute;top:-451;visibility:visible;v-text-anchor:top" adj="10504" fillcolor="#c00000" strokecolor="red">
                      <v:shadow on="t" color="black" opacity="22936f" origin=",0.5" offset="0,1.81pt"/>
                      <v:textbox>
                        <w:txbxContent>
                          <w:p w:rsidR="00B10C74" w:rsidRPr="00AB433C" w:rsidP="000B2C94" w14:paraId="4C1AFD6B" w14:textId="77777777">
                            <w:pPr>
                              <w:rPr>
                                <w:b/>
                                <w:color w:val="FFFFFF"/>
                              </w:rPr>
                            </w:pPr>
                          </w:p>
                          <w:p w:rsidR="00B10C74" w:rsidRPr="00AB433C" w:rsidP="000B2C94" w14:paraId="4278E230" w14:textId="77777777">
                            <w:pPr>
                              <w:rPr>
                                <w:b/>
                                <w:color w:val="FFFFFF"/>
                              </w:rPr>
                            </w:pPr>
                          </w:p>
                        </w:txbxContent>
                      </v:textbox>
                    </v:shape>
                    <v:shape id="Text Box 110" o:spid="_x0000_s1090" type="#_x0000_t202" style="width:2585;height:3394;left:1913;mso-wrap-style:square;position:absolute;top:1128;visibility:visible;v-text-anchor:top" filled="f" stroked="f" strokeweight="0.5pt">
                      <v:textbox>
                        <w:txbxContent>
                          <w:p w:rsidR="00B10C74" w:rsidRPr="00B0312C" w:rsidP="000B2C94" w14:paraId="4E1F62FC" w14:textId="77777777">
                            <w:pPr>
                              <w:rPr>
                                <w:b/>
                                <w:color w:val="FFFFFF"/>
                                <w:lang w:val="en-US"/>
                              </w:rPr>
                            </w:pPr>
                            <w:r>
                              <w:rPr>
                                <w:b/>
                                <w:color w:val="FFFFFF"/>
                                <w:lang w:val="en-US"/>
                              </w:rPr>
                              <w:t>1</w:t>
                            </w:r>
                          </w:p>
                        </w:txbxContent>
                      </v:textbox>
                    </v:shape>
                  </v:group>
                </v:group>
                <w10:wrap type="none"/>
                <w10:anchorlock/>
              </v:group>
            </w:pict>
          </mc:Fallback>
        </mc:AlternateContent>
      </w:r>
    </w:p>
    <w:p w:rsidR="000B2C94" w:rsidRPr="001E1416" w:rsidP="000B2C94" w14:paraId="2D4BA5B7" w14:textId="32CF2B17">
      <w:pPr>
        <w:pStyle w:val="ListParagraph"/>
        <w:numPr>
          <w:ilvl w:val="0"/>
          <w:numId w:val="1"/>
        </w:numPr>
        <w:spacing w:after="0" w:line="240" w:lineRule="auto"/>
        <w:ind w:left="567" w:hanging="567"/>
        <w:rPr>
          <w:rFonts w:eastAsia="Times New Roman" w:cstheme="minorHAnsi"/>
          <w:lang w:eastAsia="en-GB"/>
        </w:rPr>
      </w:pPr>
      <w:r w:rsidRPr="001E1416">
        <w:rPr>
          <w:rFonts w:cstheme="minorHAnsi"/>
          <w:bCs/>
          <w:iCs/>
        </w:rPr>
        <w:t xml:space="preserve">At the end of quarter </w:t>
      </w:r>
      <w:r w:rsidR="0064019C">
        <w:rPr>
          <w:rFonts w:cstheme="minorHAnsi"/>
          <w:bCs/>
          <w:iCs/>
        </w:rPr>
        <w:t>two</w:t>
      </w:r>
      <w:r w:rsidRPr="00B81E90">
        <w:rPr>
          <w:rFonts w:cstheme="minorHAnsi"/>
          <w:bCs/>
          <w:iCs/>
        </w:rPr>
        <w:t xml:space="preserve">, three </w:t>
      </w:r>
      <w:r w:rsidRPr="001E1416">
        <w:rPr>
          <w:rFonts w:cstheme="minorHAnsi"/>
          <w:bCs/>
          <w:iCs/>
        </w:rPr>
        <w:t xml:space="preserve">of the </w:t>
      </w:r>
      <w:r>
        <w:rPr>
          <w:rFonts w:cstheme="minorHAnsi"/>
          <w:bCs/>
          <w:iCs/>
        </w:rPr>
        <w:t>eight</w:t>
      </w:r>
      <w:r w:rsidRPr="001E1416">
        <w:rPr>
          <w:rFonts w:cstheme="minorHAnsi"/>
          <w:bCs/>
          <w:iCs/>
        </w:rPr>
        <w:t xml:space="preserve"> corporate performance indicators under this priority</w:t>
      </w:r>
      <w:r>
        <w:rPr>
          <w:rFonts w:cstheme="minorHAnsi"/>
          <w:bCs/>
          <w:iCs/>
        </w:rPr>
        <w:t xml:space="preserve"> are due to be reported</w:t>
      </w:r>
      <w:r w:rsidRPr="001E1416">
        <w:rPr>
          <w:rFonts w:cstheme="minorHAnsi"/>
          <w:bCs/>
          <w:iCs/>
        </w:rPr>
        <w:t>.</w:t>
      </w:r>
    </w:p>
    <w:p w:rsidR="000B2C94" w:rsidRPr="001E1416" w:rsidP="000B2C94" w14:paraId="4A2120FE" w14:textId="77777777">
      <w:pPr>
        <w:pStyle w:val="ListParagraph"/>
        <w:spacing w:after="0" w:line="240" w:lineRule="auto"/>
        <w:ind w:left="567"/>
        <w:rPr>
          <w:rFonts w:eastAsia="Times New Roman" w:cstheme="minorHAnsi"/>
          <w:lang w:eastAsia="en-GB"/>
        </w:rPr>
      </w:pPr>
    </w:p>
    <w:p w:rsidR="000B2C94" w:rsidRPr="001E1416" w:rsidP="000B2C94" w14:paraId="73FB7CFF" w14:textId="77777777">
      <w:pPr>
        <w:pStyle w:val="ListParagraph"/>
        <w:numPr>
          <w:ilvl w:val="0"/>
          <w:numId w:val="1"/>
        </w:numPr>
        <w:spacing w:after="0" w:line="240" w:lineRule="auto"/>
        <w:ind w:left="567" w:hanging="567"/>
        <w:rPr>
          <w:rFonts w:eastAsia="Times New Roman" w:cstheme="minorHAnsi"/>
          <w:lang w:eastAsia="en-GB"/>
        </w:rPr>
      </w:pPr>
      <w:r w:rsidRPr="003B3C0F">
        <w:rPr>
          <w:rFonts w:cstheme="minorHAnsi"/>
          <w:bCs/>
          <w:iCs/>
        </w:rPr>
        <w:t xml:space="preserve">Two </w:t>
      </w:r>
      <w:r w:rsidRPr="001E1416">
        <w:rPr>
          <w:rFonts w:cstheme="minorHAnsi"/>
          <w:bCs/>
          <w:iCs/>
        </w:rPr>
        <w:t>indicators</w:t>
      </w:r>
      <w:r>
        <w:rPr>
          <w:rFonts w:cstheme="minorHAnsi"/>
          <w:bCs/>
          <w:iCs/>
        </w:rPr>
        <w:t xml:space="preserve"> </w:t>
      </w:r>
      <w:r w:rsidRPr="001E1416">
        <w:rPr>
          <w:rFonts w:cstheme="minorHAnsi"/>
          <w:bCs/>
          <w:iCs/>
        </w:rPr>
        <w:t>are performing on or better than target:</w:t>
      </w:r>
    </w:p>
    <w:p w:rsidR="000B2C94" w:rsidRPr="00291E16" w:rsidP="000B2C94" w14:paraId="11F742D8" w14:textId="77777777">
      <w:pPr>
        <w:pStyle w:val="ListParagraph"/>
        <w:numPr>
          <w:ilvl w:val="1"/>
          <w:numId w:val="12"/>
        </w:numPr>
        <w:spacing w:after="0" w:line="240" w:lineRule="auto"/>
        <w:rPr>
          <w:rFonts w:eastAsia="Calibri" w:cs="Times New Roman"/>
        </w:rPr>
      </w:pPr>
      <w:r w:rsidRPr="00291E16">
        <w:rPr>
          <w:rFonts w:eastAsia="Calibri" w:cs="Times New Roman"/>
        </w:rPr>
        <w:t>Number of residents participating in activities delivered by the Council</w:t>
      </w:r>
      <w:r w:rsidRPr="00291E16" w:rsidR="009E29D1">
        <w:rPr>
          <w:rFonts w:eastAsia="Calibri" w:cs="Times New Roman"/>
        </w:rPr>
        <w:t>,</w:t>
      </w:r>
    </w:p>
    <w:p w:rsidR="000B2C94" w:rsidRPr="00291E16" w:rsidP="000B2C94" w14:paraId="55CC03DA" w14:textId="77777777">
      <w:pPr>
        <w:pStyle w:val="ListParagraph"/>
        <w:numPr>
          <w:ilvl w:val="1"/>
          <w:numId w:val="12"/>
        </w:numPr>
        <w:spacing w:after="0" w:line="240" w:lineRule="auto"/>
        <w:rPr>
          <w:rFonts w:eastAsia="Calibri" w:cs="Times New Roman"/>
        </w:rPr>
      </w:pPr>
      <w:r w:rsidRPr="003B3C0F">
        <w:rPr>
          <w:rFonts w:eastAsia="Calibri" w:cs="Times New Roman"/>
        </w:rPr>
        <w:t xml:space="preserve">The number of claimants as a </w:t>
      </w:r>
      <w:r w:rsidRPr="003B3C0F">
        <w:rPr>
          <w:rFonts w:eastAsia="Calibri" w:cs="Times New Roman"/>
        </w:rPr>
        <w:t>proportion of resident population of area aged 16-64 is better than North West average</w:t>
      </w:r>
      <w:r w:rsidRPr="00291E16" w:rsidR="009E29D1">
        <w:rPr>
          <w:rFonts w:eastAsia="Calibri" w:cs="Times New Roman"/>
        </w:rPr>
        <w:t>.</w:t>
      </w:r>
    </w:p>
    <w:p w:rsidR="00A5150D" w:rsidRPr="00291E16" w:rsidP="00A5150D" w14:paraId="0EBCA28E" w14:textId="77777777">
      <w:pPr>
        <w:pStyle w:val="ListParagraph"/>
        <w:ind w:left="1080"/>
        <w:rPr>
          <w:rFonts w:ascii="Arial" w:eastAsia="Calibri" w:hAnsi="Arial" w:cs="Arial"/>
        </w:rPr>
      </w:pPr>
    </w:p>
    <w:p w:rsidR="009438C6" w:rsidRPr="00291E16" w:rsidP="00887AE6" w14:paraId="75B4EBB0" w14:textId="77777777">
      <w:pPr>
        <w:pStyle w:val="ListParagraph"/>
        <w:numPr>
          <w:ilvl w:val="0"/>
          <w:numId w:val="1"/>
        </w:numPr>
        <w:ind w:left="567" w:hanging="567"/>
        <w:rPr>
          <w:rFonts w:ascii="Arial" w:eastAsia="Calibri" w:hAnsi="Arial" w:cs="Arial"/>
        </w:rPr>
      </w:pPr>
      <w:r w:rsidRPr="00291E16">
        <w:rPr>
          <w:rFonts w:ascii="Arial" w:eastAsia="Calibri" w:hAnsi="Arial" w:cs="Arial"/>
        </w:rPr>
        <w:t xml:space="preserve">One indicator is </w:t>
      </w:r>
      <w:r w:rsidRPr="00291E16" w:rsidR="00711CC6">
        <w:rPr>
          <w:rFonts w:ascii="Arial" w:eastAsia="Calibri" w:hAnsi="Arial" w:cs="Arial"/>
        </w:rPr>
        <w:t>rated off track and outside of the 5% threshold:</w:t>
      </w:r>
    </w:p>
    <w:p w:rsidR="002A007C" w:rsidRPr="00291E16" w:rsidP="009438C6" w14:paraId="38C2B16E" w14:textId="2F5BA341">
      <w:pPr>
        <w:pStyle w:val="ListParagraph"/>
        <w:numPr>
          <w:ilvl w:val="1"/>
          <w:numId w:val="12"/>
        </w:numPr>
        <w:spacing w:after="0" w:line="240" w:lineRule="auto"/>
        <w:rPr>
          <w:rFonts w:eastAsia="Calibri" w:cs="Times New Roman"/>
        </w:rPr>
      </w:pPr>
      <w:r w:rsidRPr="00291E16">
        <w:rPr>
          <w:rFonts w:eastAsia="Calibri" w:cs="Times New Roman"/>
        </w:rPr>
        <w:t xml:space="preserve"> </w:t>
      </w:r>
      <w:r w:rsidRPr="00940C5C" w:rsidR="009438C6">
        <w:rPr>
          <w:rFonts w:eastAsia="Calibri" w:cs="Times New Roman"/>
        </w:rPr>
        <w:t>Number of new savers with Unify Credit Union in South Ribble</w:t>
      </w:r>
    </w:p>
    <w:p w:rsidR="00434F99" w:rsidRPr="009438C6" w:rsidP="00434F99" w14:paraId="6992C682" w14:textId="77777777">
      <w:pPr>
        <w:pStyle w:val="ListParagraph"/>
        <w:spacing w:after="0" w:line="240" w:lineRule="auto"/>
        <w:ind w:left="1440"/>
        <w:rPr>
          <w:rFonts w:eastAsia="Calibri" w:cs="Times New Roman"/>
        </w:rPr>
      </w:pPr>
    </w:p>
    <w:tbl>
      <w:tblPr>
        <w:tblW w:w="9956" w:type="dxa"/>
        <w:tblCellMar>
          <w:left w:w="0" w:type="dxa"/>
          <w:right w:w="0" w:type="dxa"/>
        </w:tblCellMar>
        <w:tblLook w:val="04A0"/>
      </w:tblPr>
      <w:tblGrid>
        <w:gridCol w:w="2117"/>
        <w:gridCol w:w="1541"/>
        <w:gridCol w:w="1118"/>
        <w:gridCol w:w="1714"/>
        <w:gridCol w:w="1297"/>
        <w:gridCol w:w="1011"/>
        <w:gridCol w:w="1152"/>
        <w:gridCol w:w="6"/>
      </w:tblGrid>
      <w:tr w14:paraId="7D71EE32" w14:textId="77777777" w:rsidTr="00B91CC1">
        <w:tblPrEx>
          <w:tblW w:w="9956" w:type="dxa"/>
          <w:tblCellMar>
            <w:left w:w="0" w:type="dxa"/>
            <w:right w:w="0" w:type="dxa"/>
          </w:tblCellMar>
          <w:tblLook w:val="04A0"/>
        </w:tblPrEx>
        <w:trPr>
          <w:gridAfter w:val="1"/>
          <w:wAfter w:w="6" w:type="dxa"/>
          <w:trHeight w:val="254"/>
          <w:tblHeader/>
        </w:trPr>
        <w:tc>
          <w:tcPr>
            <w:tcW w:w="2117"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rsidR="00A5150D" w:rsidP="00A445F5" w14:paraId="201D916B" w14:textId="77777777">
            <w:pPr>
              <w:spacing w:after="160" w:line="252" w:lineRule="auto"/>
              <w:contextualSpacing/>
              <w:rPr>
                <w:b/>
                <w:bCs/>
              </w:rPr>
            </w:pPr>
            <w:bookmarkStart w:id="6" w:name="_Hlk116566024"/>
            <w:r>
              <w:rPr>
                <w:b/>
                <w:bCs/>
              </w:rPr>
              <w:t>Key Performance Indicator</w:t>
            </w:r>
          </w:p>
        </w:tc>
        <w:tc>
          <w:tcPr>
            <w:tcW w:w="154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A5150D" w:rsidP="00A445F5" w14:paraId="29608226" w14:textId="77777777">
            <w:pPr>
              <w:spacing w:after="0" w:line="252" w:lineRule="auto"/>
              <w:rPr>
                <w:b/>
                <w:bCs/>
              </w:rPr>
            </w:pPr>
            <w:r>
              <w:rPr>
                <w:b/>
                <w:bCs/>
                <w:color w:val="000000"/>
              </w:rPr>
              <w:t>Polarity</w:t>
            </w:r>
          </w:p>
        </w:tc>
        <w:tc>
          <w:tcPr>
            <w:tcW w:w="1118"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A5150D" w:rsidP="00A445F5" w14:paraId="766DC232" w14:textId="77777777">
            <w:pPr>
              <w:spacing w:after="0" w:line="252" w:lineRule="auto"/>
              <w:rPr>
                <w:b/>
                <w:bCs/>
              </w:rPr>
            </w:pPr>
            <w:r>
              <w:rPr>
                <w:b/>
                <w:bCs/>
                <w:color w:val="000000"/>
              </w:rPr>
              <w:t>Target</w:t>
            </w:r>
          </w:p>
        </w:tc>
        <w:tc>
          <w:tcPr>
            <w:tcW w:w="1714"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A5150D" w:rsidP="00A445F5" w14:paraId="6BBFE28F" w14:textId="77777777">
            <w:pPr>
              <w:spacing w:after="0" w:line="252" w:lineRule="auto"/>
              <w:jc w:val="center"/>
              <w:rPr>
                <w:b/>
                <w:bCs/>
              </w:rPr>
            </w:pPr>
            <w:r>
              <w:rPr>
                <w:b/>
                <w:bCs/>
                <w:color w:val="000000"/>
              </w:rPr>
              <w:t>Previous Quarter</w:t>
            </w:r>
          </w:p>
        </w:tc>
        <w:tc>
          <w:tcPr>
            <w:tcW w:w="1297"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A5150D" w:rsidP="00A445F5" w14:paraId="3B638574" w14:textId="53312787">
            <w:pPr>
              <w:spacing w:after="0" w:line="240" w:lineRule="auto"/>
              <w:jc w:val="center"/>
              <w:rPr>
                <w:b/>
                <w:bCs/>
              </w:rPr>
            </w:pPr>
            <w:r>
              <w:rPr>
                <w:b/>
                <w:bCs/>
                <w:color w:val="000000"/>
              </w:rPr>
              <w:t xml:space="preserve">Quarter </w:t>
            </w:r>
            <w:r w:rsidR="0064019C">
              <w:rPr>
                <w:b/>
                <w:bCs/>
                <w:color w:val="000000"/>
              </w:rPr>
              <w:t>2</w:t>
            </w:r>
          </w:p>
          <w:p w:rsidR="00A5150D" w:rsidP="00A445F5" w14:paraId="74039691" w14:textId="77777777">
            <w:pPr>
              <w:spacing w:after="0" w:line="240" w:lineRule="auto"/>
              <w:jc w:val="center"/>
              <w:rPr>
                <w:b/>
                <w:bCs/>
              </w:rPr>
            </w:pPr>
            <w:r>
              <w:rPr>
                <w:b/>
                <w:bCs/>
                <w:color w:val="000000"/>
              </w:rPr>
              <w:t>2022/23</w:t>
            </w:r>
          </w:p>
        </w:tc>
        <w:tc>
          <w:tcPr>
            <w:tcW w:w="101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A5150D" w:rsidP="00A445F5" w14:paraId="48B43A4D" w14:textId="77777777">
            <w:pPr>
              <w:spacing w:after="0" w:line="252" w:lineRule="auto"/>
              <w:jc w:val="center"/>
              <w:rPr>
                <w:b/>
                <w:bCs/>
              </w:rPr>
            </w:pPr>
            <w:r>
              <w:rPr>
                <w:b/>
                <w:bCs/>
                <w:color w:val="000000"/>
              </w:rPr>
              <w:t xml:space="preserve">Symbol </w:t>
            </w:r>
          </w:p>
        </w:tc>
        <w:tc>
          <w:tcPr>
            <w:tcW w:w="1152"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A5150D" w:rsidP="00A445F5" w14:paraId="452D7F1A" w14:textId="77777777">
            <w:pPr>
              <w:spacing w:after="0" w:line="252" w:lineRule="auto"/>
              <w:jc w:val="center"/>
              <w:rPr>
                <w:b/>
                <w:bCs/>
              </w:rPr>
            </w:pPr>
            <w:r>
              <w:rPr>
                <w:b/>
                <w:bCs/>
                <w:color w:val="000000"/>
              </w:rPr>
              <w:t>Trend</w:t>
            </w:r>
          </w:p>
        </w:tc>
      </w:tr>
      <w:tr w14:paraId="3CD240BA" w14:textId="77777777" w:rsidTr="00B91CC1">
        <w:tblPrEx>
          <w:tblW w:w="9956" w:type="dxa"/>
          <w:tblCellMar>
            <w:left w:w="0" w:type="dxa"/>
            <w:right w:w="0" w:type="dxa"/>
          </w:tblCellMar>
          <w:tblLook w:val="04A0"/>
        </w:tblPrEx>
        <w:trPr>
          <w:gridAfter w:val="1"/>
          <w:wAfter w:w="6" w:type="dxa"/>
          <w:trHeight w:val="834"/>
          <w:tblHeader/>
        </w:trPr>
        <w:tc>
          <w:tcPr>
            <w:tcW w:w="21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91CC1" w:rsidP="00B91CC1" w14:paraId="16CBE7A2" w14:textId="11FB163C">
            <w:pPr>
              <w:spacing w:after="0" w:line="240" w:lineRule="auto"/>
            </w:pPr>
            <w:r w:rsidRPr="00FE1175">
              <w:rPr>
                <w:rFonts w:eastAsia="Calibri"/>
              </w:rPr>
              <w:t>Number of new savers with Unify Credit Union in South Ribble</w:t>
            </w:r>
          </w:p>
        </w:tc>
        <w:tc>
          <w:tcPr>
            <w:tcW w:w="15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91CC1" w:rsidRPr="002B5352" w:rsidP="00B91CC1" w14:paraId="2781E1E2" w14:textId="38337801">
            <w:pPr>
              <w:spacing w:after="0" w:line="240" w:lineRule="auto"/>
              <w:jc w:val="center"/>
            </w:pPr>
            <w:r w:rsidRPr="00FE1175">
              <w:rPr>
                <w:rFonts w:eastAsia="Calibri" w:cs="Times New Roman"/>
              </w:rPr>
              <w:t>Bigger is better</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91CC1" w:rsidRPr="002B5352" w:rsidP="00B91CC1" w14:paraId="3CC35F23" w14:textId="298F9582">
            <w:pPr>
              <w:spacing w:after="0" w:line="240" w:lineRule="auto"/>
              <w:jc w:val="center"/>
            </w:pPr>
            <w:r>
              <w:rPr>
                <w:rFonts w:eastAsia="Calibri" w:cs="Times New Roman"/>
              </w:rPr>
              <w:t>100</w:t>
            </w:r>
          </w:p>
        </w:tc>
        <w:tc>
          <w:tcPr>
            <w:tcW w:w="17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91CC1" w:rsidRPr="00FE1175" w:rsidP="00B91CC1" w14:paraId="04675939" w14:textId="77777777">
            <w:pPr>
              <w:widowControl w:val="0"/>
              <w:spacing w:line="256" w:lineRule="auto"/>
              <w:contextualSpacing/>
              <w:jc w:val="center"/>
              <w:outlineLvl w:val="0"/>
              <w:rPr>
                <w:rFonts w:eastAsia="Calibri" w:cs="Times New Roman"/>
              </w:rPr>
            </w:pPr>
            <w:r>
              <w:rPr>
                <w:rFonts w:eastAsia="Calibri" w:cs="Times New Roman"/>
              </w:rPr>
              <w:t>38</w:t>
            </w:r>
          </w:p>
          <w:p w:rsidR="00B91CC1" w:rsidRPr="002B5352" w:rsidP="00B91CC1" w14:paraId="7365ECE9" w14:textId="0BD68DA4">
            <w:pPr>
              <w:spacing w:after="0" w:line="240" w:lineRule="auto"/>
              <w:jc w:val="center"/>
            </w:pPr>
            <w:r w:rsidRPr="00FE1175">
              <w:rPr>
                <w:rFonts w:eastAsia="Calibri" w:cs="Times New Roman"/>
              </w:rPr>
              <w:t>(Q</w:t>
            </w:r>
            <w:r>
              <w:rPr>
                <w:rFonts w:eastAsia="Calibri" w:cs="Times New Roman"/>
              </w:rPr>
              <w:t>1</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2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91CC1" w:rsidRPr="00940C5C" w:rsidP="00940C5C" w14:paraId="283EA14E" w14:textId="3C81F3E2">
            <w:pPr>
              <w:spacing w:after="0" w:line="240" w:lineRule="auto"/>
              <w:jc w:val="center"/>
              <w:rPr>
                <w:rFonts w:eastAsia="Calibri" w:cs="Times New Roman"/>
                <w:b/>
                <w:bCs/>
              </w:rPr>
            </w:pPr>
            <w:r w:rsidRPr="00B91CC1">
              <w:rPr>
                <w:rFonts w:eastAsia="Calibri" w:cs="Times New Roman"/>
                <w:b/>
                <w:bCs/>
              </w:rPr>
              <w:t>69</w:t>
            </w:r>
            <w:r w:rsidR="00940C5C">
              <w:rPr>
                <w:rFonts w:eastAsia="Calibri" w:cs="Times New Roman"/>
                <w:b/>
                <w:bCs/>
              </w:rPr>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91CC1" w:rsidP="00B91CC1" w14:paraId="05BEEE27" w14:textId="66AE33DD">
            <w:pPr>
              <w:spacing w:after="0" w:line="240" w:lineRule="auto"/>
              <w:jc w:val="center"/>
            </w:pPr>
            <w:r w:rsidRPr="00E52C0D">
              <w:rPr>
                <w:rFonts w:ascii="Wingdings 3" w:eastAsia="Arial" w:hAnsi="Wingdings 3" w:cs="Times New Roman"/>
                <w:color w:val="FF0000"/>
                <w:sz w:val="32"/>
              </w:rPr>
              <w:sym w:font="Wingdings 3" w:char="F070"/>
            </w:r>
          </w:p>
        </w:tc>
        <w:tc>
          <w:tcPr>
            <w:tcW w:w="11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91CC1" w:rsidP="00B91CC1" w14:paraId="08C30638" w14:textId="77AB2448">
            <w:pPr>
              <w:spacing w:after="0" w:line="240" w:lineRule="auto"/>
              <w:jc w:val="center"/>
            </w:pPr>
            <w:r w:rsidRPr="008576E2">
              <w:rPr>
                <w:rFonts w:eastAsia="Calibri" w:cstheme="minorHAnsi"/>
                <w:b/>
                <w:bCs/>
                <w:color w:val="FF0000"/>
                <w:sz w:val="20"/>
                <w:szCs w:val="20"/>
              </w:rPr>
              <w:t>Worse than Q2 2021/22</w:t>
            </w:r>
          </w:p>
        </w:tc>
      </w:tr>
      <w:tr w14:paraId="22DF0AC8" w14:textId="77777777" w:rsidTr="009E29D1">
        <w:tblPrEx>
          <w:tblW w:w="9956" w:type="dxa"/>
          <w:tblCellMar>
            <w:left w:w="0" w:type="dxa"/>
            <w:right w:w="0" w:type="dxa"/>
          </w:tblCellMar>
          <w:tblLook w:val="04A0"/>
        </w:tblPrEx>
        <w:trPr>
          <w:trHeight w:val="2080"/>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91CC1" w:rsidP="00B91CC1" w14:paraId="6909E3C1" w14:textId="77777777">
            <w:pPr>
              <w:rPr>
                <w:rFonts w:ascii="Arial" w:hAnsi="Arial" w:cs="Arial"/>
                <w:b/>
                <w:bCs/>
              </w:rPr>
            </w:pPr>
            <w:r>
              <w:rPr>
                <w:rFonts w:ascii="Arial" w:hAnsi="Arial" w:cs="Arial"/>
                <w:b/>
                <w:bCs/>
              </w:rPr>
              <w:t xml:space="preserve">Reason Below Target: </w:t>
            </w:r>
          </w:p>
        </w:tc>
        <w:tc>
          <w:tcPr>
            <w:tcW w:w="7839" w:type="dxa"/>
            <w:gridSpan w:val="7"/>
            <w:tcBorders>
              <w:top w:val="nil"/>
              <w:left w:val="nil"/>
              <w:bottom w:val="single" w:sz="8" w:space="0" w:color="auto"/>
              <w:right w:val="single" w:sz="8" w:space="0" w:color="auto"/>
            </w:tcBorders>
            <w:tcMar>
              <w:top w:w="0" w:type="dxa"/>
              <w:left w:w="108" w:type="dxa"/>
              <w:bottom w:w="0" w:type="dxa"/>
              <w:right w:w="108" w:type="dxa"/>
            </w:tcMar>
          </w:tcPr>
          <w:p w:rsidR="00B43FAE" w:rsidP="00B43FAE" w14:paraId="04625BD7" w14:textId="77777777">
            <w:r>
              <w:t xml:space="preserve">The indicator is below the quarterly target of 100 savers, having achieved 31 in quarter two. The annual target for this indicator is to increase savers within the borough by approximately 200. </w:t>
            </w:r>
          </w:p>
          <w:p w:rsidR="00B43FAE" w:rsidP="00B43FAE" w14:paraId="1809DFF3" w14:textId="77777777">
            <w:r>
              <w:t>A number of factors have contributed to the measure being bel</w:t>
            </w:r>
            <w:r>
              <w:t xml:space="preserve">ow target including the cost of living crisis having an impact on individual’s ability to save. Additionally, there have been several closures to the branch as a result of issues within the building relating to the second floor. </w:t>
            </w:r>
          </w:p>
          <w:p w:rsidR="006904AD" w:rsidRPr="00B43FAE" w:rsidP="00B43FAE" w14:paraId="729D980C" w14:textId="5054A2AE">
            <w:pPr>
              <w:spacing w:line="240" w:lineRule="auto"/>
            </w:pPr>
            <w:r>
              <w:t>Christmas is the busiest p</w:t>
            </w:r>
            <w:r>
              <w:t>eriod for the Credit Union; therefore, it is expected that the number of savers will increase significant over the upcoming quarters.</w:t>
            </w:r>
          </w:p>
        </w:tc>
      </w:tr>
      <w:tr w14:paraId="0A73FE0E" w14:textId="77777777" w:rsidTr="00BD042B">
        <w:tblPrEx>
          <w:tblW w:w="9956" w:type="dxa"/>
          <w:tblCellMar>
            <w:left w:w="0" w:type="dxa"/>
            <w:right w:w="0" w:type="dxa"/>
          </w:tblCellMar>
          <w:tblLook w:val="04A0"/>
        </w:tblPrEx>
        <w:trPr>
          <w:trHeight w:val="385"/>
        </w:trPr>
        <w:tc>
          <w:tcPr>
            <w:tcW w:w="21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91CC1" w:rsidP="00B91CC1" w14:paraId="61AD6F66" w14:textId="77777777">
            <w:pPr>
              <w:rPr>
                <w:color w:val="FF0000"/>
              </w:rPr>
            </w:pPr>
            <w:r>
              <w:rPr>
                <w:rFonts w:ascii="Arial" w:hAnsi="Arial" w:cs="Arial"/>
                <w:b/>
                <w:bCs/>
              </w:rPr>
              <w:t>Action Plan:</w:t>
            </w:r>
          </w:p>
        </w:tc>
        <w:tc>
          <w:tcPr>
            <w:tcW w:w="7839" w:type="dxa"/>
            <w:gridSpan w:val="7"/>
            <w:tcBorders>
              <w:top w:val="single" w:sz="8" w:space="0" w:color="auto"/>
              <w:left w:val="nil"/>
              <w:bottom w:val="single" w:sz="4" w:space="0" w:color="auto"/>
              <w:right w:val="single" w:sz="8" w:space="0" w:color="auto"/>
            </w:tcBorders>
            <w:tcMar>
              <w:top w:w="0" w:type="dxa"/>
              <w:left w:w="108" w:type="dxa"/>
              <w:bottom w:w="0" w:type="dxa"/>
              <w:right w:w="108" w:type="dxa"/>
            </w:tcMar>
          </w:tcPr>
          <w:p w:rsidR="00B91CC1" w:rsidP="00B91CC1" w14:paraId="1E30D464" w14:textId="68134A29">
            <w:pPr>
              <w:spacing w:line="240" w:lineRule="auto"/>
            </w:pPr>
            <w:r w:rsidRPr="0062167A">
              <w:t xml:space="preserve">In response to the </w:t>
            </w:r>
            <w:r>
              <w:t>lower than expected number of new savers, the following ac</w:t>
            </w:r>
            <w:r w:rsidRPr="0062167A">
              <w:t xml:space="preserve">tions and </w:t>
            </w:r>
            <w:r w:rsidRPr="0062167A">
              <w:t>initiatives will be put in place</w:t>
            </w:r>
            <w:r>
              <w:t xml:space="preserve"> next quarter</w:t>
            </w:r>
            <w:r w:rsidRPr="0062167A">
              <w:t xml:space="preserve"> to help meet </w:t>
            </w:r>
            <w:r w:rsidR="00D1743D">
              <w:t>the Credit Union</w:t>
            </w:r>
            <w:r w:rsidR="00B6430F">
              <w:t xml:space="preserve"> saver</w:t>
            </w:r>
            <w:r w:rsidR="00D1743D">
              <w:t xml:space="preserve"> membership</w:t>
            </w:r>
            <w:r w:rsidRPr="0062167A">
              <w:t xml:space="preserve"> targets:</w:t>
            </w:r>
          </w:p>
          <w:p w:rsidR="0062167A" w:rsidP="0062167A" w14:paraId="7A3C4445" w14:textId="34389AE5">
            <w:pPr>
              <w:pStyle w:val="ListParagraph"/>
              <w:numPr>
                <w:ilvl w:val="0"/>
                <w:numId w:val="38"/>
              </w:numPr>
              <w:spacing w:line="240" w:lineRule="auto"/>
            </w:pPr>
            <w:r>
              <w:t>The credit union will attend the cost of living drop in events</w:t>
            </w:r>
            <w:r w:rsidR="006904AD">
              <w:t xml:space="preserve">, </w:t>
            </w:r>
            <w:r>
              <w:t>which will</w:t>
            </w:r>
            <w:r w:rsidR="00B6430F">
              <w:t xml:space="preserve"> provide</w:t>
            </w:r>
            <w:r>
              <w:t xml:space="preserve"> the opportunity to link activities to the proactive </w:t>
            </w:r>
            <w:r w:rsidR="006904AD">
              <w:t xml:space="preserve">cost of living </w:t>
            </w:r>
            <w:r>
              <w:t xml:space="preserve">work being </w:t>
            </w:r>
            <w:r w:rsidR="00A15C7E">
              <w:t>carried out</w:t>
            </w:r>
            <w:r>
              <w:t xml:space="preserve">. </w:t>
            </w:r>
          </w:p>
          <w:p w:rsidR="0062167A" w:rsidP="0062167A" w14:paraId="4E1FDB7B" w14:textId="77777777">
            <w:pPr>
              <w:pStyle w:val="ListParagraph"/>
              <w:spacing w:line="240" w:lineRule="auto"/>
            </w:pPr>
          </w:p>
          <w:p w:rsidR="0062167A" w:rsidP="0062167A" w14:paraId="7F535D61" w14:textId="58C858DA">
            <w:pPr>
              <w:pStyle w:val="ListParagraph"/>
              <w:numPr>
                <w:ilvl w:val="0"/>
                <w:numId w:val="38"/>
              </w:numPr>
              <w:spacing w:line="240" w:lineRule="auto"/>
            </w:pPr>
            <w:r>
              <w:t xml:space="preserve">The Credit Union will </w:t>
            </w:r>
            <w:r w:rsidR="00A15C7E">
              <w:t>attend</w:t>
            </w:r>
            <w:r>
              <w:t xml:space="preserve"> community events</w:t>
            </w:r>
            <w:r w:rsidR="00A15C7E">
              <w:t xml:space="preserve"> </w:t>
            </w:r>
            <w:r>
              <w:t>/ cafes / talking tables to promote community engagement</w:t>
            </w:r>
            <w:r w:rsidR="00D1743D">
              <w:t>.</w:t>
            </w:r>
          </w:p>
          <w:p w:rsidR="00D1743D" w:rsidP="00D1743D" w14:paraId="515B1097" w14:textId="77777777">
            <w:pPr>
              <w:pStyle w:val="ListParagraph"/>
            </w:pPr>
          </w:p>
          <w:p w:rsidR="00B6430F" w:rsidP="00D1743D" w14:paraId="2EDFC308" w14:textId="7BA92BE0">
            <w:pPr>
              <w:pStyle w:val="ListParagraph"/>
              <w:numPr>
                <w:ilvl w:val="0"/>
                <w:numId w:val="38"/>
              </w:numPr>
              <w:spacing w:line="240" w:lineRule="auto"/>
            </w:pPr>
            <w:r>
              <w:t xml:space="preserve">Work with the council’s business engagement team will be carried out </w:t>
            </w:r>
            <w:r w:rsidR="00A15C7E">
              <w:t>with the introduction of</w:t>
            </w:r>
            <w:r>
              <w:t xml:space="preserve"> the Credit Union to local employers via the business breakfast and other networking events to encourage employers to become payroll partners.</w:t>
            </w:r>
          </w:p>
          <w:p w:rsidR="00B6430F" w:rsidP="00B6430F" w14:paraId="5949E491" w14:textId="77777777">
            <w:pPr>
              <w:pStyle w:val="ListParagraph"/>
            </w:pPr>
          </w:p>
          <w:p w:rsidR="00B43FAE" w:rsidP="00B43FAE" w14:paraId="67249D99" w14:textId="77777777">
            <w:pPr>
              <w:pStyle w:val="ListParagraph"/>
              <w:numPr>
                <w:ilvl w:val="0"/>
                <w:numId w:val="38"/>
              </w:numPr>
              <w:spacing w:line="240" w:lineRule="auto"/>
            </w:pPr>
            <w:r>
              <w:t>Additionally, infor</w:t>
            </w:r>
            <w:r>
              <w:t xml:space="preserve">mation about the Credit Union and what </w:t>
            </w:r>
            <w:r w:rsidR="0084578A">
              <w:t>services they</w:t>
            </w:r>
            <w:r>
              <w:t xml:space="preserve"> can offer will be sent out to all local employe</w:t>
            </w:r>
            <w:r w:rsidR="00A15C7E">
              <w:t>r</w:t>
            </w:r>
            <w:r>
              <w:t>s on the council’s business mailing list</w:t>
            </w:r>
            <w:r w:rsidR="00A15C7E">
              <w:t>.</w:t>
            </w:r>
          </w:p>
          <w:p w:rsidR="00B43FAE" w:rsidP="00B43FAE" w14:paraId="02BEF54A" w14:textId="77777777">
            <w:pPr>
              <w:pStyle w:val="ListParagraph"/>
            </w:pPr>
          </w:p>
          <w:p w:rsidR="00B43FAE" w:rsidRPr="005A0668" w:rsidP="00B43FAE" w14:paraId="2CE28E25" w14:textId="1168B47A">
            <w:pPr>
              <w:spacing w:line="240" w:lineRule="auto"/>
            </w:pPr>
            <w:r w:rsidRPr="00B43FAE">
              <w:t xml:space="preserve">Officers from the Communities </w:t>
            </w:r>
            <w:r>
              <w:t>t</w:t>
            </w:r>
            <w:r w:rsidRPr="00B43FAE">
              <w:t xml:space="preserve">eam will continue to oversee the delivery of the </w:t>
            </w:r>
            <w:r>
              <w:t>C</w:t>
            </w:r>
            <w:r w:rsidRPr="00B43FAE">
              <w:t xml:space="preserve">redit </w:t>
            </w:r>
            <w:r>
              <w:t>U</w:t>
            </w:r>
            <w:r w:rsidRPr="00B43FAE">
              <w:t>nion</w:t>
            </w:r>
            <w:r>
              <w:t>,</w:t>
            </w:r>
            <w:r w:rsidRPr="00B43FAE">
              <w:t xml:space="preserve"> and wider council </w:t>
            </w:r>
            <w:r w:rsidRPr="00B43FAE">
              <w:t xml:space="preserve">services will provide support where needed to help promote </w:t>
            </w:r>
            <w:r>
              <w:t>C</w:t>
            </w:r>
            <w:r w:rsidRPr="00B43FAE">
              <w:t xml:space="preserve">redit </w:t>
            </w:r>
            <w:r>
              <w:t>U</w:t>
            </w:r>
            <w:r w:rsidRPr="00B43FAE">
              <w:t>nion facilities</w:t>
            </w:r>
            <w:r>
              <w:t>.</w:t>
            </w:r>
          </w:p>
        </w:tc>
      </w:tr>
      <w:bookmarkEnd w:id="6"/>
    </w:tbl>
    <w:p w:rsidR="00C56A58" w:rsidRPr="001E73E2" w:rsidP="001E73E2" w14:paraId="1EE6260C" w14:textId="77777777">
      <w:pPr>
        <w:rPr>
          <w:rFonts w:ascii="Arial" w:eastAsia="Calibri" w:hAnsi="Arial" w:cs="Arial"/>
        </w:rPr>
        <w:sectPr w:rsidSect="00D4431F">
          <w:pgSz w:w="11906" w:h="16838"/>
          <w:pgMar w:top="1440" w:right="1440" w:bottom="1440" w:left="1440" w:header="708" w:footer="708" w:gutter="0"/>
          <w:cols w:space="708"/>
          <w:docGrid w:linePitch="360"/>
        </w:sectPr>
      </w:pPr>
    </w:p>
    <w:p w:rsidR="00C56A58" w:rsidRPr="001E73E2" w:rsidP="007229BD" w14:paraId="7E4E4E5B" w14:textId="77777777">
      <w:pPr>
        <w:spacing w:after="0" w:line="240" w:lineRule="auto"/>
        <w:rPr>
          <w:rFonts w:ascii="Arial" w:eastAsia="Calibri" w:hAnsi="Arial" w:cs="Arial"/>
        </w:r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45"/>
        <w:gridCol w:w="3047"/>
      </w:tblGrid>
      <w:tr w14:paraId="40FF0212" w14:textId="77777777" w:rsidTr="0006284E">
        <w:tblPrEx>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20"/>
        </w:trPr>
        <w:tc>
          <w:tcPr>
            <w:tcW w:w="9136" w:type="dxa"/>
            <w:gridSpan w:val="3"/>
            <w:tcBorders>
              <w:top w:val="nil"/>
              <w:left w:val="nil"/>
              <w:right w:val="nil"/>
            </w:tcBorders>
            <w:shd w:val="clear" w:color="auto" w:fill="auto"/>
          </w:tcPr>
          <w:p w:rsidR="00A47396" w:rsidRPr="003F121D" w:rsidP="0006284E" w14:paraId="1D20FB83" w14:textId="77777777">
            <w:pPr>
              <w:widowControl w:val="0"/>
              <w:spacing w:after="0" w:line="256" w:lineRule="auto"/>
              <w:ind w:firstLine="208"/>
              <w:contextualSpacing/>
              <w:outlineLvl w:val="0"/>
              <w:rPr>
                <w:rFonts w:ascii="Arial" w:eastAsia="Calibri" w:hAnsi="Arial" w:cs="Arial"/>
                <w:b/>
                <w:color w:val="8B3781"/>
              </w:rPr>
            </w:pPr>
            <w:bookmarkStart w:id="7" w:name="_Hlk54078172"/>
            <w:r w:rsidRPr="003F121D">
              <w:rPr>
                <w:rFonts w:ascii="Arial" w:eastAsia="Calibri" w:hAnsi="Arial" w:cs="Times New Roman"/>
                <w:noProof/>
                <w:color w:val="8B3781"/>
              </w:rPr>
              <w:drawing>
                <wp:inline distT="0" distB="0" distL="0" distR="0">
                  <wp:extent cx="1219200" cy="154305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3"/>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F121D">
              <w:rPr>
                <w:rFonts w:ascii="Arial" w:eastAsia="Calibri" w:hAnsi="Arial" w:cs="Times New Roman"/>
                <w:noProof/>
                <w:color w:val="8B3781"/>
              </w:rPr>
              <w:drawing>
                <wp:inline distT="0" distB="0" distL="0" distR="0">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4"/>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rsidR="00A47396" w:rsidRPr="003F121D" w:rsidP="0006284E" w14:paraId="155D8D36" w14:textId="77777777">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A COUNCIL THAT:</w:t>
            </w:r>
          </w:p>
        </w:tc>
      </w:tr>
      <w:tr w14:paraId="67359754" w14:textId="77777777" w:rsidTr="0006284E">
        <w:tblPrEx>
          <w:tblW w:w="9136" w:type="dxa"/>
          <w:tblLook w:val="04A0"/>
        </w:tblPrEx>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rsidR="00A47396" w:rsidRPr="003F121D" w:rsidP="0006284E" w14:paraId="11FF41E3" w14:textId="77777777">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rsidR="00A47396" w:rsidRPr="003F121D" w:rsidP="0006284E" w14:paraId="088F50AC" w14:textId="77777777">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Grows and supports sustainable businesses</w:t>
            </w:r>
          </w:p>
        </w:tc>
        <w:tc>
          <w:tcPr>
            <w:tcW w:w="3047" w:type="dxa"/>
            <w:tcBorders>
              <w:top w:val="single" w:sz="18" w:space="0" w:color="FFFFFF"/>
              <w:left w:val="single" w:sz="18" w:space="0" w:color="FFFFFF"/>
              <w:bottom w:val="single" w:sz="18" w:space="0" w:color="FFFFFF"/>
              <w:right w:val="single" w:sz="18" w:space="0" w:color="FFFFFF"/>
            </w:tcBorders>
            <w:shd w:val="clear" w:color="auto" w:fill="auto"/>
          </w:tcPr>
          <w:p w:rsidR="00A47396" w:rsidRPr="003F121D" w:rsidP="0006284E" w14:paraId="7D169A97" w14:textId="77777777">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Invests in improving the borough</w:t>
            </w:r>
          </w:p>
        </w:tc>
      </w:tr>
    </w:tbl>
    <w:bookmarkEnd w:id="7"/>
    <w:p w:rsidR="004A62BD" w:rsidRPr="00460D79" w:rsidP="00805EF3" w14:paraId="0DFB50C1" w14:textId="77777777">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rsidR="00DC5465" w:rsidRPr="00DC5465" w:rsidP="00DC5465" w14:paraId="12A79A9C" w14:textId="77777777">
      <w:pPr>
        <w:spacing w:after="0" w:line="240" w:lineRule="auto"/>
        <w:rPr>
          <w:rFonts w:cstheme="minorHAnsi"/>
          <w:bCs/>
          <w:iCs/>
        </w:rPr>
      </w:pPr>
    </w:p>
    <w:p w:rsidR="00B06003" w:rsidRPr="006904AD" w:rsidP="000B0F35" w14:paraId="735AB1F9" w14:textId="3B6F6799">
      <w:pPr>
        <w:pStyle w:val="ListParagraph"/>
        <w:numPr>
          <w:ilvl w:val="0"/>
          <w:numId w:val="1"/>
        </w:numPr>
        <w:spacing w:after="0" w:line="240" w:lineRule="auto"/>
        <w:ind w:left="567" w:hanging="567"/>
        <w:rPr>
          <w:rFonts w:ascii="Arial" w:eastAsia="Calibri" w:hAnsi="Arial" w:cs="Times New Roman"/>
        </w:rPr>
      </w:pPr>
      <w:bookmarkStart w:id="8" w:name="_Hlk116462158"/>
      <w:r w:rsidRPr="006904AD">
        <w:rPr>
          <w:rFonts w:ascii="Arial" w:eastAsia="Calibri" w:hAnsi="Arial" w:cs="Times New Roman"/>
        </w:rPr>
        <w:t xml:space="preserve">The project to </w:t>
      </w:r>
      <w:r w:rsidRPr="006904AD" w:rsidR="000B0F35">
        <w:rPr>
          <w:rFonts w:ascii="Arial" w:eastAsia="Calibri" w:hAnsi="Arial" w:cs="Times New Roman"/>
        </w:rPr>
        <w:t>support the</w:t>
      </w:r>
      <w:r w:rsidRPr="006904AD">
        <w:rPr>
          <w:rFonts w:ascii="Arial" w:eastAsia="Calibri" w:hAnsi="Arial" w:cs="Times New Roman"/>
        </w:rPr>
        <w:t xml:space="preserve"> </w:t>
      </w:r>
      <w:r w:rsidRPr="006904AD" w:rsidR="000B0F35">
        <w:rPr>
          <w:rFonts w:ascii="Arial" w:eastAsia="Calibri" w:hAnsi="Arial" w:cs="Times New Roman"/>
        </w:rPr>
        <w:t>establishment of</w:t>
      </w:r>
      <w:r w:rsidRPr="006904AD">
        <w:rPr>
          <w:rFonts w:ascii="Arial" w:eastAsia="Calibri" w:hAnsi="Arial" w:cs="Times New Roman"/>
        </w:rPr>
        <w:t xml:space="preserve"> co</w:t>
      </w:r>
      <w:r w:rsidRPr="006904AD" w:rsidR="00D75CD5">
        <w:rPr>
          <w:rFonts w:ascii="Arial" w:eastAsia="Calibri" w:hAnsi="Arial" w:cs="Times New Roman"/>
        </w:rPr>
        <w:t>-</w:t>
      </w:r>
      <w:r w:rsidRPr="006904AD">
        <w:rPr>
          <w:rFonts w:ascii="Arial" w:eastAsia="Calibri" w:hAnsi="Arial" w:cs="Times New Roman"/>
        </w:rPr>
        <w:t>operative</w:t>
      </w:r>
      <w:r w:rsidRPr="006904AD" w:rsidR="000B0F35">
        <w:rPr>
          <w:rFonts w:ascii="Arial" w:eastAsia="Calibri" w:hAnsi="Arial" w:cs="Times New Roman"/>
        </w:rPr>
        <w:t>s</w:t>
      </w:r>
      <w:r w:rsidRPr="006904AD">
        <w:rPr>
          <w:rFonts w:ascii="Arial" w:eastAsia="Calibri" w:hAnsi="Arial" w:cs="Times New Roman"/>
        </w:rPr>
        <w:t xml:space="preserve"> has progressed with the </w:t>
      </w:r>
      <w:r w:rsidRPr="006904AD" w:rsidR="000B0F35">
        <w:rPr>
          <w:rFonts w:ascii="Arial" w:eastAsia="Calibri" w:hAnsi="Arial" w:cs="Times New Roman"/>
        </w:rPr>
        <w:t>development</w:t>
      </w:r>
      <w:r w:rsidRPr="006904AD">
        <w:rPr>
          <w:rFonts w:ascii="Arial" w:eastAsia="Calibri" w:hAnsi="Arial" w:cs="Times New Roman"/>
        </w:rPr>
        <w:t xml:space="preserve"> of a pilot scheme</w:t>
      </w:r>
      <w:r w:rsidR="006E12F4">
        <w:rPr>
          <w:rFonts w:ascii="Arial" w:eastAsia="Calibri" w:hAnsi="Arial" w:cs="Times New Roman"/>
        </w:rPr>
        <w:t xml:space="preserve"> and a temporary post to coordinate the activity</w:t>
      </w:r>
      <w:r w:rsidRPr="006904AD">
        <w:rPr>
          <w:rFonts w:ascii="Arial" w:eastAsia="Calibri" w:hAnsi="Arial" w:cs="Times New Roman"/>
        </w:rPr>
        <w:t>. The need for sustainable food has been an area of focus for</w:t>
      </w:r>
      <w:r w:rsidRPr="006904AD" w:rsidR="00BA0144">
        <w:rPr>
          <w:rFonts w:ascii="Arial" w:eastAsia="Calibri" w:hAnsi="Arial" w:cs="Times New Roman"/>
        </w:rPr>
        <w:t xml:space="preserve"> a</w:t>
      </w:r>
      <w:r w:rsidRPr="006904AD">
        <w:rPr>
          <w:rFonts w:ascii="Arial" w:eastAsia="Calibri" w:hAnsi="Arial" w:cs="Times New Roman"/>
        </w:rPr>
        <w:t xml:space="preserve"> co-coo</w:t>
      </w:r>
      <w:r w:rsidRPr="006904AD">
        <w:rPr>
          <w:rFonts w:ascii="Arial" w:eastAsia="Calibri" w:hAnsi="Arial" w:cs="Times New Roman"/>
        </w:rPr>
        <w:t>perative model</w:t>
      </w:r>
      <w:r w:rsidRPr="006904AD" w:rsidR="00D75CD5">
        <w:rPr>
          <w:rFonts w:ascii="Arial" w:eastAsia="Calibri" w:hAnsi="Arial" w:cs="Times New Roman"/>
        </w:rPr>
        <w:t xml:space="preserve"> pilot</w:t>
      </w:r>
      <w:r w:rsidRPr="006904AD">
        <w:rPr>
          <w:rFonts w:ascii="Arial" w:eastAsia="Calibri" w:hAnsi="Arial" w:cs="Times New Roman"/>
        </w:rPr>
        <w:t xml:space="preserve"> as a result of the cost of living crisis and the increased usage of foodbanks. A local community group has expressed their interest to support the co</w:t>
      </w:r>
      <w:r w:rsidRPr="006904AD" w:rsidR="00BA0144">
        <w:rPr>
          <w:rFonts w:ascii="Arial" w:eastAsia="Calibri" w:hAnsi="Arial" w:cs="Times New Roman"/>
        </w:rPr>
        <w:t>-</w:t>
      </w:r>
      <w:r w:rsidRPr="006904AD">
        <w:rPr>
          <w:rFonts w:ascii="Arial" w:eastAsia="Calibri" w:hAnsi="Arial" w:cs="Times New Roman"/>
        </w:rPr>
        <w:t xml:space="preserve">operative model and </w:t>
      </w:r>
      <w:r w:rsidRPr="006904AD" w:rsidR="00A07EB2">
        <w:rPr>
          <w:rFonts w:ascii="Arial" w:eastAsia="Calibri" w:hAnsi="Arial" w:cs="Times New Roman"/>
        </w:rPr>
        <w:t>a location</w:t>
      </w:r>
      <w:r w:rsidRPr="006904AD">
        <w:rPr>
          <w:rFonts w:ascii="Arial" w:eastAsia="Calibri" w:hAnsi="Arial" w:cs="Times New Roman"/>
        </w:rPr>
        <w:t xml:space="preserve"> been identified for the pilot.</w:t>
      </w:r>
      <w:r w:rsidRPr="006904AD" w:rsidR="00BA0144">
        <w:rPr>
          <w:rFonts w:ascii="Arial" w:eastAsia="Calibri" w:hAnsi="Arial" w:cs="Times New Roman"/>
        </w:rPr>
        <w:t xml:space="preserve"> </w:t>
      </w:r>
      <w:r w:rsidRPr="006904AD" w:rsidR="0057167E">
        <w:rPr>
          <w:rFonts w:ascii="Arial" w:eastAsia="Calibri" w:hAnsi="Arial" w:cs="Times New Roman"/>
        </w:rPr>
        <w:t>An</w:t>
      </w:r>
      <w:r w:rsidRPr="006904AD" w:rsidR="00BA0144">
        <w:rPr>
          <w:rFonts w:ascii="Arial" w:eastAsia="Calibri" w:hAnsi="Arial" w:cs="Times New Roman"/>
        </w:rPr>
        <w:t xml:space="preserve"> officer training</w:t>
      </w:r>
      <w:r w:rsidRPr="006904AD" w:rsidR="00D75CD5">
        <w:rPr>
          <w:rFonts w:ascii="Arial" w:eastAsia="Calibri" w:hAnsi="Arial" w:cs="Times New Roman"/>
        </w:rPr>
        <w:t xml:space="preserve"> programme</w:t>
      </w:r>
      <w:r w:rsidRPr="006904AD" w:rsidR="00BA0144">
        <w:rPr>
          <w:rFonts w:ascii="Arial" w:eastAsia="Calibri" w:hAnsi="Arial" w:cs="Times New Roman"/>
        </w:rPr>
        <w:t xml:space="preserve"> has been </w:t>
      </w:r>
      <w:r w:rsidRPr="006904AD" w:rsidR="00D75CD5">
        <w:rPr>
          <w:rFonts w:ascii="Arial" w:eastAsia="Calibri" w:hAnsi="Arial" w:cs="Times New Roman"/>
        </w:rPr>
        <w:t xml:space="preserve">successfully </w:t>
      </w:r>
      <w:r w:rsidRPr="006904AD" w:rsidR="00BA0144">
        <w:rPr>
          <w:rFonts w:ascii="Arial" w:eastAsia="Calibri" w:hAnsi="Arial" w:cs="Times New Roman"/>
        </w:rPr>
        <w:t>delivered by the Preston Co</w:t>
      </w:r>
      <w:r w:rsidR="0084578A">
        <w:rPr>
          <w:rFonts w:ascii="Arial" w:eastAsia="Calibri" w:hAnsi="Arial" w:cs="Times New Roman"/>
        </w:rPr>
        <w:t>-</w:t>
      </w:r>
      <w:r w:rsidRPr="006904AD" w:rsidR="00BA0144">
        <w:rPr>
          <w:rFonts w:ascii="Arial" w:eastAsia="Calibri" w:hAnsi="Arial" w:cs="Times New Roman"/>
        </w:rPr>
        <w:t>operative Development Centre to the councils’ communities and business engagement teams to support the formation of resident co-operatives and employee owned business models.</w:t>
      </w:r>
    </w:p>
    <w:bookmarkEnd w:id="8"/>
    <w:p w:rsidR="00B06003" w:rsidRPr="00B06003" w:rsidP="0045484A" w14:paraId="1C3781F8" w14:textId="77777777">
      <w:pPr>
        <w:pStyle w:val="ListParagraph"/>
        <w:spacing w:after="0" w:line="240" w:lineRule="auto"/>
        <w:ind w:left="567"/>
        <w:rPr>
          <w:rFonts w:cstheme="minorHAnsi"/>
          <w:bCs/>
          <w:iCs/>
        </w:rPr>
      </w:pPr>
    </w:p>
    <w:p w:rsidR="00B06003" w:rsidRPr="006904AD" w:rsidP="0045484A" w14:paraId="281AD08A" w14:textId="151D1A0A">
      <w:pPr>
        <w:pStyle w:val="ListParagraph"/>
        <w:numPr>
          <w:ilvl w:val="0"/>
          <w:numId w:val="1"/>
        </w:numPr>
        <w:spacing w:after="0" w:line="240" w:lineRule="auto"/>
        <w:ind w:left="567" w:hanging="567"/>
        <w:rPr>
          <w:rFonts w:ascii="Arial" w:eastAsia="Calibri" w:hAnsi="Arial" w:cs="Times New Roman"/>
        </w:rPr>
      </w:pPr>
      <w:r w:rsidRPr="006904AD">
        <w:rPr>
          <w:rFonts w:ascii="Arial" w:eastAsia="Calibri" w:hAnsi="Arial" w:cs="Times New Roman"/>
        </w:rPr>
        <w:t>As</w:t>
      </w:r>
      <w:r w:rsidRPr="006904AD">
        <w:rPr>
          <w:rFonts w:ascii="Arial" w:eastAsia="Calibri" w:hAnsi="Arial" w:cs="Times New Roman"/>
        </w:rPr>
        <w:t xml:space="preserve"> part of the council’s commitment to supporting </w:t>
      </w:r>
      <w:r w:rsidRPr="006904AD" w:rsidR="0008730B">
        <w:rPr>
          <w:rFonts w:ascii="Arial" w:eastAsia="Calibri" w:hAnsi="Arial" w:cs="Times New Roman"/>
        </w:rPr>
        <w:t>resident’s</w:t>
      </w:r>
      <w:r w:rsidRPr="006904AD">
        <w:rPr>
          <w:rFonts w:ascii="Arial" w:eastAsia="Calibri" w:hAnsi="Arial" w:cs="Times New Roman"/>
        </w:rPr>
        <w:t xml:space="preserve"> recovery following the pandemic, progress has been </w:t>
      </w:r>
      <w:r w:rsidRPr="006904AD" w:rsidR="008A619D">
        <w:rPr>
          <w:rFonts w:ascii="Arial" w:eastAsia="Calibri" w:hAnsi="Arial" w:cs="Times New Roman"/>
        </w:rPr>
        <w:t>made with the development of interventions and support with key partners in response to the cost of living crisis and the changes in demand for services.</w:t>
      </w:r>
      <w:r w:rsidR="006E12F4">
        <w:rPr>
          <w:rFonts w:ascii="Arial" w:eastAsia="Calibri" w:hAnsi="Arial" w:cs="Times New Roman"/>
        </w:rPr>
        <w:t xml:space="preserve"> A </w:t>
      </w:r>
      <w:r w:rsidRPr="006904AD" w:rsidR="008A619D">
        <w:rPr>
          <w:rFonts w:ascii="Arial" w:eastAsia="Calibri" w:hAnsi="Arial" w:cs="Times New Roman"/>
        </w:rPr>
        <w:t xml:space="preserve">multi-agency Cost of Living Task Group has been formed </w:t>
      </w:r>
      <w:r w:rsidR="009960BB">
        <w:rPr>
          <w:rFonts w:ascii="Arial" w:eastAsia="Calibri" w:hAnsi="Arial" w:cs="Times New Roman"/>
        </w:rPr>
        <w:t xml:space="preserve">and </w:t>
      </w:r>
      <w:r w:rsidRPr="006904AD" w:rsidR="0008730B">
        <w:rPr>
          <w:rFonts w:ascii="Arial" w:eastAsia="Calibri" w:hAnsi="Arial" w:cs="Times New Roman"/>
        </w:rPr>
        <w:t xml:space="preserve">a </w:t>
      </w:r>
      <w:r w:rsidR="0057167E">
        <w:rPr>
          <w:rFonts w:ascii="Arial" w:eastAsia="Calibri" w:hAnsi="Arial" w:cs="Times New Roman"/>
        </w:rPr>
        <w:t>c</w:t>
      </w:r>
      <w:r w:rsidRPr="006904AD" w:rsidR="0008730B">
        <w:rPr>
          <w:rFonts w:ascii="Arial" w:eastAsia="Calibri" w:hAnsi="Arial" w:cs="Times New Roman"/>
        </w:rPr>
        <w:t xml:space="preserve">ost of </w:t>
      </w:r>
      <w:r w:rsidR="0057167E">
        <w:rPr>
          <w:rFonts w:ascii="Arial" w:eastAsia="Calibri" w:hAnsi="Arial" w:cs="Times New Roman"/>
        </w:rPr>
        <w:t>l</w:t>
      </w:r>
      <w:r w:rsidRPr="006904AD" w:rsidR="0008730B">
        <w:rPr>
          <w:rFonts w:ascii="Arial" w:eastAsia="Calibri" w:hAnsi="Arial" w:cs="Times New Roman"/>
        </w:rPr>
        <w:t>iving action plan will be developed to deliver support</w:t>
      </w:r>
      <w:r w:rsidR="0057167E">
        <w:rPr>
          <w:rFonts w:ascii="Arial" w:eastAsia="Calibri" w:hAnsi="Arial" w:cs="Times New Roman"/>
        </w:rPr>
        <w:t>. P</w:t>
      </w:r>
      <w:r w:rsidRPr="006904AD" w:rsidR="0008730B">
        <w:rPr>
          <w:rFonts w:ascii="Arial" w:eastAsia="Calibri" w:hAnsi="Arial" w:cs="Times New Roman"/>
        </w:rPr>
        <w:t>lanned initiatives include</w:t>
      </w:r>
      <w:r w:rsidR="0057167E">
        <w:rPr>
          <w:rFonts w:ascii="Arial" w:eastAsia="Calibri" w:hAnsi="Arial" w:cs="Times New Roman"/>
        </w:rPr>
        <w:t xml:space="preserve"> the</w:t>
      </w:r>
      <w:r w:rsidRPr="006904AD" w:rsidR="0008730B">
        <w:rPr>
          <w:rFonts w:ascii="Arial" w:eastAsia="Calibri" w:hAnsi="Arial" w:cs="Times New Roman"/>
        </w:rPr>
        <w:t xml:space="preserve"> ‘#warmwelcome’ campaign, an online support directory</w:t>
      </w:r>
      <w:r w:rsidR="009960BB">
        <w:rPr>
          <w:rFonts w:ascii="Arial" w:eastAsia="Calibri" w:hAnsi="Arial" w:cs="Times New Roman"/>
        </w:rPr>
        <w:t>,</w:t>
      </w:r>
      <w:r w:rsidRPr="006904AD" w:rsidR="0008730B">
        <w:rPr>
          <w:rFonts w:ascii="Arial" w:eastAsia="Calibri" w:hAnsi="Arial" w:cs="Times New Roman"/>
        </w:rPr>
        <w:t xml:space="preserve"> and community based drop-in events across the borough. Progress has also been made with the delivery of round two of the Household Support Fund</w:t>
      </w:r>
      <w:r w:rsidRPr="006904AD" w:rsidR="00236C0E">
        <w:rPr>
          <w:rFonts w:ascii="Arial" w:eastAsia="Calibri" w:hAnsi="Arial" w:cs="Times New Roman"/>
        </w:rPr>
        <w:t xml:space="preserve"> with over £200k invested on supporting residents with food, </w:t>
      </w:r>
      <w:r w:rsidRPr="006904AD" w:rsidR="00C34B3D">
        <w:rPr>
          <w:rFonts w:ascii="Arial" w:eastAsia="Calibri" w:hAnsi="Arial" w:cs="Times New Roman"/>
        </w:rPr>
        <w:t>energy,</w:t>
      </w:r>
      <w:r w:rsidRPr="006904AD" w:rsidR="00236C0E">
        <w:rPr>
          <w:rFonts w:ascii="Arial" w:eastAsia="Calibri" w:hAnsi="Arial" w:cs="Times New Roman"/>
        </w:rPr>
        <w:t xml:space="preserve"> and essential items. Examples of the support provided include:</w:t>
      </w:r>
    </w:p>
    <w:p w:rsidR="00236C0E" w:rsidRPr="00236C0E" w:rsidP="00236C0E" w14:paraId="63BAB56E" w14:textId="77777777">
      <w:pPr>
        <w:pStyle w:val="ListParagraph"/>
        <w:rPr>
          <w:rFonts w:cstheme="minorHAnsi"/>
          <w:bCs/>
          <w:iCs/>
        </w:rPr>
      </w:pPr>
    </w:p>
    <w:p w:rsidR="00236C0E" w:rsidP="00236C0E" w14:paraId="1D8DCB3D" w14:textId="64740DCD">
      <w:pPr>
        <w:pStyle w:val="ListParagraph"/>
        <w:numPr>
          <w:ilvl w:val="0"/>
          <w:numId w:val="32"/>
        </w:numPr>
        <w:spacing w:after="0" w:line="240" w:lineRule="auto"/>
        <w:rPr>
          <w:rFonts w:cstheme="minorHAnsi"/>
          <w:bCs/>
          <w:iCs/>
        </w:rPr>
      </w:pPr>
      <w:r>
        <w:rPr>
          <w:rFonts w:cstheme="minorHAnsi"/>
          <w:bCs/>
          <w:iCs/>
        </w:rPr>
        <w:t>£80k provided via Citizen’s Advice Bureau (CAB) for energy and water vouchers</w:t>
      </w:r>
      <w:r w:rsidR="0057167E">
        <w:rPr>
          <w:rFonts w:cstheme="minorHAnsi"/>
          <w:bCs/>
          <w:iCs/>
        </w:rPr>
        <w:t>,</w:t>
      </w:r>
    </w:p>
    <w:p w:rsidR="00236C0E" w:rsidP="00236C0E" w14:paraId="4DB2C913" w14:textId="5D0DB8D5">
      <w:pPr>
        <w:pStyle w:val="ListParagraph"/>
        <w:numPr>
          <w:ilvl w:val="0"/>
          <w:numId w:val="32"/>
        </w:numPr>
        <w:spacing w:after="0" w:line="240" w:lineRule="auto"/>
        <w:rPr>
          <w:rFonts w:cstheme="minorHAnsi"/>
          <w:bCs/>
          <w:iCs/>
        </w:rPr>
      </w:pPr>
      <w:r>
        <w:rPr>
          <w:rFonts w:cstheme="minorHAnsi"/>
          <w:bCs/>
          <w:iCs/>
        </w:rPr>
        <w:t xml:space="preserve">Over £64k provided to make homes more energy efficient. Adaptations include boiler repairs and </w:t>
      </w:r>
      <w:r>
        <w:rPr>
          <w:rFonts w:cstheme="minorHAnsi"/>
          <w:bCs/>
          <w:iCs/>
        </w:rPr>
        <w:t>replacement and the provision of insulation</w:t>
      </w:r>
      <w:r w:rsidR="0057167E">
        <w:rPr>
          <w:rFonts w:cstheme="minorHAnsi"/>
          <w:bCs/>
          <w:iCs/>
        </w:rPr>
        <w:t>,</w:t>
      </w:r>
    </w:p>
    <w:p w:rsidR="00236C0E" w:rsidP="00236C0E" w14:paraId="7AEB7B2F" w14:textId="18DAF784">
      <w:pPr>
        <w:pStyle w:val="ListParagraph"/>
        <w:numPr>
          <w:ilvl w:val="0"/>
          <w:numId w:val="32"/>
        </w:numPr>
        <w:spacing w:after="0" w:line="240" w:lineRule="auto"/>
        <w:rPr>
          <w:rFonts w:cstheme="minorHAnsi"/>
          <w:bCs/>
          <w:iCs/>
        </w:rPr>
      </w:pPr>
      <w:r>
        <w:rPr>
          <w:rFonts w:cstheme="minorHAnsi"/>
          <w:bCs/>
          <w:iCs/>
        </w:rPr>
        <w:t>£37k provided to foodbanks and community shops to replenish stock and supplies</w:t>
      </w:r>
      <w:r w:rsidR="0057167E">
        <w:rPr>
          <w:rFonts w:cstheme="minorHAnsi"/>
          <w:bCs/>
          <w:iCs/>
        </w:rPr>
        <w:t>,</w:t>
      </w:r>
    </w:p>
    <w:p w:rsidR="00236C0E" w:rsidP="00236C0E" w14:paraId="7A00B289" w14:textId="23565381">
      <w:pPr>
        <w:pStyle w:val="ListParagraph"/>
        <w:numPr>
          <w:ilvl w:val="0"/>
          <w:numId w:val="32"/>
        </w:numPr>
        <w:spacing w:after="0" w:line="240" w:lineRule="auto"/>
        <w:rPr>
          <w:rFonts w:cstheme="minorHAnsi"/>
          <w:bCs/>
          <w:iCs/>
        </w:rPr>
      </w:pPr>
      <w:r>
        <w:rPr>
          <w:rFonts w:cstheme="minorHAnsi"/>
          <w:bCs/>
          <w:iCs/>
        </w:rPr>
        <w:t>£26k provided to charities and community groups for initiatives such as slow cooker project, bedding and blanket packs, energy vouc</w:t>
      </w:r>
      <w:r>
        <w:rPr>
          <w:rFonts w:cstheme="minorHAnsi"/>
          <w:bCs/>
          <w:iCs/>
        </w:rPr>
        <w:t>hers and home appliances</w:t>
      </w:r>
      <w:r w:rsidR="0057167E">
        <w:rPr>
          <w:rFonts w:cstheme="minorHAnsi"/>
          <w:bCs/>
          <w:iCs/>
        </w:rPr>
        <w:t>.</w:t>
      </w:r>
    </w:p>
    <w:p w:rsidR="00A07EB2" w:rsidP="0045484A" w14:paraId="002C39B1" w14:textId="3DE25789">
      <w:pPr>
        <w:pStyle w:val="ListParagraph"/>
        <w:rPr>
          <w:rFonts w:cstheme="minorHAnsi"/>
          <w:bCs/>
          <w:iCs/>
        </w:rPr>
      </w:pPr>
    </w:p>
    <w:p w:rsidR="005B1304" w:rsidP="0045484A" w14:paraId="2ECAF085" w14:textId="3A79FCCD">
      <w:pPr>
        <w:pStyle w:val="ListParagraph"/>
        <w:rPr>
          <w:rFonts w:cstheme="minorHAnsi"/>
          <w:bCs/>
          <w:iCs/>
        </w:rPr>
      </w:pPr>
    </w:p>
    <w:p w:rsidR="006904AD" w:rsidP="0045484A" w14:paraId="5D3ED784" w14:textId="77777777">
      <w:pPr>
        <w:pStyle w:val="ListParagraph"/>
        <w:rPr>
          <w:rFonts w:cstheme="minorHAnsi"/>
          <w:bCs/>
          <w:iCs/>
        </w:rPr>
        <w:sectPr w:rsidSect="004315BF">
          <w:pgSz w:w="11906" w:h="16838"/>
          <w:pgMar w:top="1134" w:right="1440" w:bottom="851" w:left="1440" w:header="708" w:footer="708" w:gutter="0"/>
          <w:cols w:space="708"/>
          <w:docGrid w:linePitch="360"/>
        </w:sectPr>
      </w:pPr>
    </w:p>
    <w:p w:rsidR="00DF7547" w:rsidP="00DF7547" w14:paraId="0E9BA236" w14:textId="77777777">
      <w:pPr>
        <w:spacing w:after="0" w:line="240" w:lineRule="auto"/>
        <w:rPr>
          <w:rFonts w:eastAsia="Times New Roman" w:cstheme="minorHAnsi"/>
          <w:b/>
          <w:bCs/>
          <w:lang w:eastAsia="en-GB"/>
        </w:rPr>
      </w:pPr>
      <w:r w:rsidRPr="00D11C43">
        <w:rPr>
          <w:rFonts w:eastAsia="Times New Roman" w:cstheme="minorHAnsi"/>
          <w:b/>
          <w:bCs/>
          <w:lang w:eastAsia="en-GB"/>
        </w:rPr>
        <w:t xml:space="preserve">Performance of key projects </w:t>
      </w:r>
    </w:p>
    <w:p w:rsidR="00DF7547" w:rsidP="00DF7547" w14:paraId="43A385DE" w14:textId="77777777">
      <w:pPr>
        <w:spacing w:after="0" w:line="240" w:lineRule="auto"/>
        <w:rPr>
          <w:rFonts w:eastAsia="Times New Roman" w:cstheme="minorHAnsi"/>
          <w:b/>
          <w:bCs/>
          <w:lang w:eastAsia="en-GB"/>
        </w:rPr>
      </w:pPr>
      <w:r>
        <w:rPr>
          <w:rFonts w:eastAsia="Times New Roman" w:cstheme="minorHAnsi"/>
          <w:b/>
          <w:bCs/>
          <w:noProof/>
          <w:lang w:eastAsia="en-GB"/>
        </w:rPr>
        <mc:AlternateContent>
          <mc:Choice Requires="wpg">
            <w:drawing>
              <wp:inline distT="0" distB="0" distL="0" distR="0">
                <wp:extent cx="6035962" cy="1088761"/>
                <wp:effectExtent l="0" t="0" r="0" b="0"/>
                <wp:docPr id="267" name="Group 267"/>
                <wp:cNvGraphicFramePr/>
                <a:graphic xmlns:a="http://schemas.openxmlformats.org/drawingml/2006/main">
                  <a:graphicData uri="http://schemas.microsoft.com/office/word/2010/wordprocessingGroup">
                    <wpg:wgp xmlns:wpg="http://schemas.microsoft.com/office/word/2010/wordprocessingGroup">
                      <wpg:cNvGrpSpPr/>
                      <wpg:grpSpPr>
                        <a:xfrm>
                          <a:off x="0" y="0"/>
                          <a:ext cx="6035962" cy="1088761"/>
                          <a:chOff x="0" y="0"/>
                          <a:chExt cx="6035962" cy="1088761"/>
                        </a:xfrm>
                      </wpg:grpSpPr>
                      <wpg:grpSp>
                        <wpg:cNvPr id="268" name="Group 268"/>
                        <wpg:cNvGrpSpPr/>
                        <wpg:grpSpPr>
                          <a:xfrm>
                            <a:off x="0" y="0"/>
                            <a:ext cx="1265555" cy="1088761"/>
                            <a:chOff x="0" y="0"/>
                            <a:chExt cx="1265555" cy="1088761"/>
                          </a:xfrm>
                        </wpg:grpSpPr>
                        <wps:wsp xmlns:wps="http://schemas.microsoft.com/office/word/2010/wordprocessingShape">
                          <wps:cNvPr id="269" name="Oval 107"/>
                          <wps:cNvSpPr>
                            <a:spLocks noChangeArrowheads="1"/>
                          </wps:cNvSpPr>
                          <wps:spPr bwMode="auto">
                            <a:xfrm>
                              <a:off x="94890" y="8626"/>
                              <a:ext cx="1080135" cy="1080135"/>
                            </a:xfrm>
                            <a:prstGeom prst="ellipse">
                              <a:avLst/>
                            </a:prstGeom>
                            <a:solidFill>
                              <a:schemeClr val="accent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70" name="Group 270"/>
                          <wpg:cNvGrpSpPr/>
                          <wpg:grpSpPr>
                            <a:xfrm>
                              <a:off x="0" y="0"/>
                              <a:ext cx="1265555" cy="871220"/>
                              <a:chOff x="0" y="0"/>
                              <a:chExt cx="1265555" cy="871269"/>
                            </a:xfrm>
                          </wpg:grpSpPr>
                          <wps:wsp xmlns:wps="http://schemas.microsoft.com/office/word/2010/wordprocessingShape">
                            <wps:cNvPr id="271"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DF7547" w14:paraId="43A605C4" w14:textId="7777777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xmlns:wps="http://schemas.microsoft.com/office/word/2010/wordprocessingShape">
                            <wps:cNvPr id="272"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DF7547" w14:paraId="6CDFA24E"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273" name="Group 273"/>
                        <wpg:cNvGrpSpPr/>
                        <wpg:grpSpPr>
                          <a:xfrm>
                            <a:off x="1595886" y="8626"/>
                            <a:ext cx="1265555" cy="1080135"/>
                            <a:chOff x="0" y="0"/>
                            <a:chExt cx="1265555" cy="1080135"/>
                          </a:xfrm>
                        </wpg:grpSpPr>
                        <wps:wsp xmlns:wps="http://schemas.microsoft.com/office/word/2010/wordprocessingShape">
                          <wps:cNvPr id="274" name="Oval 105"/>
                          <wps:cNvSpPr>
                            <a:spLocks noChangeArrowheads="1"/>
                          </wps:cNvSpPr>
                          <wps:spPr bwMode="auto">
                            <a:xfrm>
                              <a:off x="86265" y="0"/>
                              <a:ext cx="1080135" cy="1080135"/>
                            </a:xfrm>
                            <a:prstGeom prst="ellipse">
                              <a:avLst/>
                            </a:prstGeom>
                            <a:solidFill>
                              <a:srgbClr val="92D05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75" name="Group 275"/>
                          <wpg:cNvGrpSpPr/>
                          <wpg:grpSpPr>
                            <a:xfrm>
                              <a:off x="0" y="43132"/>
                              <a:ext cx="1265555" cy="871269"/>
                              <a:chOff x="0" y="0"/>
                              <a:chExt cx="1265555" cy="871269"/>
                            </a:xfrm>
                          </wpg:grpSpPr>
                          <wps:wsp xmlns:wps="http://schemas.microsoft.com/office/word/2010/wordprocessingShape">
                            <wps:cNvPr id="276"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DF7547" w14:paraId="30EE5B05" w14:textId="77777777">
                                  <w:pPr>
                                    <w:jc w:val="center"/>
                                    <w:rPr>
                                      <w:b/>
                                      <w:bCs/>
                                      <w:color w:val="FFFFFF"/>
                                      <w:sz w:val="32"/>
                                      <w:szCs w:val="24"/>
                                      <w:lang w:val="en-US"/>
                                    </w:rPr>
                                  </w:pPr>
                                  <w:r>
                                    <w:rPr>
                                      <w:b/>
                                      <w:bCs/>
                                      <w:color w:val="FFFFFF"/>
                                      <w:sz w:val="52"/>
                                      <w:szCs w:val="44"/>
                                      <w:lang w:val="en-US"/>
                                    </w:rPr>
                                    <w:t>2</w:t>
                                  </w:r>
                                </w:p>
                              </w:txbxContent>
                            </wps:txbx>
                            <wps:bodyPr rot="0" vert="horz" wrap="square" anchor="t" anchorCtr="0" upright="1"/>
                          </wps:wsp>
                          <wps:wsp xmlns:wps="http://schemas.microsoft.com/office/word/2010/wordprocessingShape">
                            <wps:cNvPr id="277"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DF7547" w14:paraId="5AFAA16D"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278" name="Group 278"/>
                        <wpg:cNvGrpSpPr/>
                        <wpg:grpSpPr>
                          <a:xfrm>
                            <a:off x="3174520" y="8626"/>
                            <a:ext cx="1265555" cy="1080135"/>
                            <a:chOff x="0" y="0"/>
                            <a:chExt cx="1265555" cy="1080135"/>
                          </a:xfrm>
                        </wpg:grpSpPr>
                        <wps:wsp xmlns:wps="http://schemas.microsoft.com/office/word/2010/wordprocessingShape">
                          <wps:cNvPr id="279" name="Oval 101"/>
                          <wps:cNvSpPr>
                            <a:spLocks noChangeArrowheads="1"/>
                          </wps:cNvSpPr>
                          <wps:spPr bwMode="auto">
                            <a:xfrm>
                              <a:off x="103517" y="0"/>
                              <a:ext cx="1075055" cy="1080135"/>
                            </a:xfrm>
                            <a:prstGeom prst="ellipse">
                              <a:avLst/>
                            </a:prstGeom>
                            <a:solidFill>
                              <a:srgbClr val="EF8F2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80" name="Group 280"/>
                          <wpg:cNvGrpSpPr/>
                          <wpg:grpSpPr>
                            <a:xfrm>
                              <a:off x="0" y="8626"/>
                              <a:ext cx="1265555" cy="871269"/>
                              <a:chOff x="0" y="0"/>
                              <a:chExt cx="1265555" cy="871269"/>
                            </a:xfrm>
                          </wpg:grpSpPr>
                          <wps:wsp xmlns:wps="http://schemas.microsoft.com/office/word/2010/wordprocessingShape">
                            <wps:cNvPr id="281"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DF7547" w14:paraId="1D88FF0D" w14:textId="7777777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wps:txbx>
                            <wps:bodyPr rot="0" vert="horz" wrap="square" anchor="t" anchorCtr="0" upright="1"/>
                          </wps:wsp>
                          <wps:wsp xmlns:wps="http://schemas.microsoft.com/office/word/2010/wordprocessingShape">
                            <wps:cNvPr id="282"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DF7547" w14:paraId="52FD670C"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283" name="Group 283"/>
                        <wpg:cNvGrpSpPr/>
                        <wpg:grpSpPr>
                          <a:xfrm>
                            <a:off x="4770407" y="8626"/>
                            <a:ext cx="1265555" cy="1080135"/>
                            <a:chOff x="0" y="0"/>
                            <a:chExt cx="1265555" cy="1080135"/>
                          </a:xfrm>
                        </wpg:grpSpPr>
                        <wps:wsp xmlns:wps="http://schemas.microsoft.com/office/word/2010/wordprocessingShape">
                          <wps:cNvPr id="284" name="Oval 102"/>
                          <wps:cNvSpPr>
                            <a:spLocks noChangeArrowheads="1"/>
                          </wps:cNvSpPr>
                          <wps:spPr bwMode="auto">
                            <a:xfrm>
                              <a:off x="86264" y="0"/>
                              <a:ext cx="1075055" cy="1080135"/>
                            </a:xfrm>
                            <a:prstGeom prst="ellipse">
                              <a:avLst/>
                            </a:prstGeom>
                            <a:solidFill>
                              <a:srgbClr val="C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285" name="Group 285"/>
                          <wpg:cNvGrpSpPr/>
                          <wpg:grpSpPr>
                            <a:xfrm>
                              <a:off x="0" y="25879"/>
                              <a:ext cx="1265555" cy="871269"/>
                              <a:chOff x="0" y="0"/>
                              <a:chExt cx="1265555" cy="871269"/>
                            </a:xfrm>
                          </wpg:grpSpPr>
                          <wps:wsp xmlns:wps="http://schemas.microsoft.com/office/word/2010/wordprocessingShape">
                            <wps:cNvPr id="286"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DF7547" w14:paraId="52187282"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xmlns:wps="http://schemas.microsoft.com/office/word/2010/wordprocessingShape">
                            <wps:cNvPr id="287"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DF7547" w14:paraId="44175D10"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id="Group 267" o:spid="_x0000_i1091" style="width:475.25pt;height:85.75pt;mso-position-horizontal-relative:char;mso-position-vertical-relative:line" coordsize="60359,10887">
                <v:group id="Group 268" o:spid="_x0000_s1092" style="width:12655;height:10887;position:absolute" coordsize="12655,10887">
                  <v:oval id="Oval 107" o:spid="_x0000_s1093" style="width:10802;height:10801;left:948;mso-wrap-style:square;position:absolute;top:86;visibility:visible;v-text-anchor:top" fillcolor="#4f81bd" stroked="f"/>
                  <v:group id="Group 270" o:spid="_x0000_s1094" style="width:12655;height:8712;position:absolute" coordsize="12655,8712">
                    <v:shape id="Text Box 108" o:spid="_x0000_s1095" type="#_x0000_t202" style="width:5175;height:4343;left:3709;mso-wrap-style:square;position:absolute;visibility:visible;v-text-anchor:top" filled="f" stroked="f">
                      <v:textbox>
                        <w:txbxContent>
                          <w:p w:rsidR="00B10C74" w:rsidRPr="00AB23E3" w:rsidP="00DF7547" w14:paraId="6901FB5B" w14:textId="77777777">
                            <w:pPr>
                              <w:jc w:val="center"/>
                              <w:rPr>
                                <w:b/>
                                <w:bCs/>
                                <w:color w:val="FFFFFF"/>
                                <w:sz w:val="32"/>
                                <w:szCs w:val="24"/>
                                <w:lang w:val="en-US"/>
                              </w:rPr>
                            </w:pPr>
                            <w:r>
                              <w:rPr>
                                <w:b/>
                                <w:bCs/>
                                <w:color w:val="FFFFFF"/>
                                <w:sz w:val="52"/>
                                <w:szCs w:val="44"/>
                                <w:lang w:val="en-US"/>
                              </w:rPr>
                              <w:t>0</w:t>
                            </w:r>
                            <w:r w:rsidRPr="00AB23E3">
                              <w:rPr>
                                <w:b/>
                                <w:bCs/>
                                <w:color w:val="FFFFFF"/>
                                <w:sz w:val="24"/>
                                <w:szCs w:val="20"/>
                                <w:lang w:val="en-US"/>
                              </w:rPr>
                              <w:t xml:space="preserve"> </w:t>
                            </w:r>
                          </w:p>
                        </w:txbxContent>
                      </v:textbox>
                    </v:shape>
                    <v:shape id="Text Box 106" o:spid="_x0000_s1096" type="#_x0000_t202" style="width:12655;height:4658;mso-wrap-style:square;position:absolute;top:4054;visibility:visible;v-text-anchor:top" filled="f" fillcolor="#9bbb59" stroked="f">
                      <v:textbox>
                        <w:txbxContent>
                          <w:p w:rsidR="00B10C74" w:rsidRPr="00860986" w:rsidP="00DF7547" w14:paraId="70F37B2A"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273" o:spid="_x0000_s1097" style="width:12656;height:10801;left:15958;position:absolute;top:86" coordsize="12655,10801">
                  <v:oval id="Oval 105" o:spid="_x0000_s1098" style="width:10802;height:10801;left:862;mso-wrap-style:square;position:absolute;visibility:visible;v-text-anchor:top" fillcolor="#92d050" stroked="f"/>
                  <v:group id="Group 275" o:spid="_x0000_s1099" style="width:12655;height:8713;position:absolute;top:431" coordsize="12655,8712">
                    <v:shape id="Text Box 108" o:spid="_x0000_s1100" type="#_x0000_t202" style="width:5175;height:4343;left:3709;mso-wrap-style:square;position:absolute;visibility:visible;v-text-anchor:top" filled="f" stroked="f">
                      <v:textbox>
                        <w:txbxContent>
                          <w:p w:rsidR="00B10C74" w:rsidRPr="00AB23E3" w:rsidP="00DF7547" w14:paraId="010717DB" w14:textId="77777777">
                            <w:pPr>
                              <w:jc w:val="center"/>
                              <w:rPr>
                                <w:b/>
                                <w:bCs/>
                                <w:color w:val="FFFFFF"/>
                                <w:sz w:val="32"/>
                                <w:szCs w:val="24"/>
                                <w:lang w:val="en-US"/>
                              </w:rPr>
                            </w:pPr>
                            <w:r>
                              <w:rPr>
                                <w:b/>
                                <w:bCs/>
                                <w:color w:val="FFFFFF"/>
                                <w:sz w:val="52"/>
                                <w:szCs w:val="44"/>
                                <w:lang w:val="en-US"/>
                              </w:rPr>
                              <w:t>2</w:t>
                            </w:r>
                          </w:p>
                        </w:txbxContent>
                      </v:textbox>
                    </v:shape>
                    <v:shape id="Text Box 106" o:spid="_x0000_s1101" type="#_x0000_t202" style="width:12655;height:4658;mso-wrap-style:square;position:absolute;top:4054;visibility:visible;v-text-anchor:top" filled="f" fillcolor="#9bbb59" stroked="f">
                      <v:textbox>
                        <w:txbxContent>
                          <w:p w:rsidR="00B10C74" w:rsidRPr="00860986" w:rsidP="00DF7547" w14:paraId="343D396A"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278" o:spid="_x0000_s1102" style="width:12655;height:10801;left:31745;position:absolute;top:86" coordsize="12655,10801">
                  <v:oval id="Oval 101" o:spid="_x0000_s1103" style="width:10750;height:10801;left:1035;mso-wrap-style:square;position:absolute;visibility:visible;v-text-anchor:top" fillcolor="#ef8f2f" stroked="f"/>
                  <v:group id="Group 280" o:spid="_x0000_s1104" style="width:12655;height:8712;position:absolute;top:86" coordsize="12655,8712">
                    <v:shape id="Text Box 108" o:spid="_x0000_s1105" type="#_x0000_t202" style="width:5175;height:4343;left:3709;mso-wrap-style:square;position:absolute;visibility:visible;v-text-anchor:top" filled="f" stroked="f">
                      <v:textbox>
                        <w:txbxContent>
                          <w:p w:rsidR="00B10C74" w:rsidRPr="00AB23E3" w:rsidP="00DF7547" w14:paraId="7CDC660D" w14:textId="77777777">
                            <w:pPr>
                              <w:jc w:val="center"/>
                              <w:rPr>
                                <w:b/>
                                <w:bCs/>
                                <w:color w:val="FFFFFF"/>
                                <w:sz w:val="32"/>
                                <w:szCs w:val="24"/>
                                <w:lang w:val="en-US"/>
                              </w:rPr>
                            </w:pPr>
                            <w:r>
                              <w:rPr>
                                <w:b/>
                                <w:bCs/>
                                <w:color w:val="FFFFFF"/>
                                <w:sz w:val="52"/>
                                <w:szCs w:val="44"/>
                                <w:lang w:val="en-US"/>
                              </w:rPr>
                              <w:t>1</w:t>
                            </w:r>
                            <w:r w:rsidRPr="00AB23E3">
                              <w:rPr>
                                <w:b/>
                                <w:bCs/>
                                <w:color w:val="FFFFFF"/>
                                <w:sz w:val="24"/>
                                <w:szCs w:val="20"/>
                                <w:lang w:val="en-US"/>
                              </w:rPr>
                              <w:t xml:space="preserve"> </w:t>
                            </w:r>
                          </w:p>
                        </w:txbxContent>
                      </v:textbox>
                    </v:shape>
                    <v:shape id="Text Box 106" o:spid="_x0000_s1106" type="#_x0000_t202" style="width:12655;height:4658;mso-wrap-style:square;position:absolute;top:4054;visibility:visible;v-text-anchor:top" filled="f" fillcolor="#9bbb59" stroked="f">
                      <v:textbox>
                        <w:txbxContent>
                          <w:p w:rsidR="00B10C74" w:rsidRPr="00860986" w:rsidP="00DF7547" w14:paraId="474B7F3C"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283" o:spid="_x0000_s1107" style="width:12655;height:10801;left:47704;position:absolute;top:86" coordsize="12655,10801">
                  <v:oval id="Oval 102" o:spid="_x0000_s1108" style="width:10751;height:10801;left:862;mso-wrap-style:square;position:absolute;visibility:visible;v-text-anchor:top" fillcolor="#c00000" stroked="f"/>
                  <v:group id="Group 285" o:spid="_x0000_s1109" style="width:12655;height:8713;position:absolute;top:258" coordsize="12655,8712">
                    <v:shape id="Text Box 108" o:spid="_x0000_s1110" type="#_x0000_t202" style="width:5175;height:4343;left:3709;mso-wrap-style:square;position:absolute;visibility:visible;v-text-anchor:top" filled="f" stroked="f">
                      <v:textbox>
                        <w:txbxContent>
                          <w:p w:rsidR="00B10C74" w:rsidRPr="00AB23E3" w:rsidP="00DF7547" w14:paraId="5BEF2626"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111" type="#_x0000_t202" style="width:12655;height:4658;mso-wrap-style:square;position:absolute;top:4054;visibility:visible;v-text-anchor:top" filled="f" fillcolor="#9bbb59" stroked="f">
                      <v:textbox>
                        <w:txbxContent>
                          <w:p w:rsidR="00B10C74" w:rsidRPr="00860986" w:rsidP="00DF7547" w14:paraId="2A2BF831"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wrap type="none"/>
                <w10:anchorlock/>
              </v:group>
            </w:pict>
          </mc:Fallback>
        </mc:AlternateContent>
      </w:r>
    </w:p>
    <w:p w:rsidR="00DF7547" w:rsidP="00DF7547" w14:paraId="73536392" w14:textId="77777777">
      <w:pPr>
        <w:pStyle w:val="ListParagraph"/>
        <w:spacing w:after="0"/>
        <w:ind w:left="360"/>
        <w:rPr>
          <w:rFonts w:ascii="Arial" w:eastAsia="Calibri" w:hAnsi="Arial" w:cs="Arial"/>
        </w:rPr>
      </w:pPr>
    </w:p>
    <w:p w:rsidR="00DF7547" w:rsidRPr="0089406F" w:rsidP="00887AE6" w14:paraId="611FD4A5" w14:textId="77777777">
      <w:pPr>
        <w:pStyle w:val="ListParagraph"/>
        <w:numPr>
          <w:ilvl w:val="0"/>
          <w:numId w:val="1"/>
        </w:numPr>
        <w:spacing w:after="0" w:line="240" w:lineRule="auto"/>
        <w:ind w:left="567" w:hanging="567"/>
        <w:rPr>
          <w:rFonts w:eastAsia="Times New Roman" w:cstheme="minorHAnsi"/>
          <w:lang w:eastAsia="en-GB"/>
        </w:rPr>
      </w:pPr>
      <w:r w:rsidRPr="0089406F">
        <w:rPr>
          <w:rFonts w:cstheme="minorHAnsi"/>
          <w:bCs/>
          <w:iCs/>
        </w:rPr>
        <w:t xml:space="preserve">There are </w:t>
      </w:r>
      <w:r>
        <w:rPr>
          <w:rFonts w:cstheme="minorHAnsi"/>
          <w:bCs/>
          <w:iCs/>
        </w:rPr>
        <w:t>three</w:t>
      </w:r>
      <w:r w:rsidRPr="0089406F">
        <w:rPr>
          <w:rFonts w:cstheme="minorHAnsi"/>
          <w:bCs/>
          <w:iCs/>
        </w:rPr>
        <w:t xml:space="preserve"> key projects included in the 202</w:t>
      </w:r>
      <w:r>
        <w:rPr>
          <w:rFonts w:cstheme="minorHAnsi"/>
          <w:bCs/>
          <w:iCs/>
        </w:rPr>
        <w:t>2/23</w:t>
      </w:r>
      <w:r w:rsidRPr="0089406F">
        <w:rPr>
          <w:rFonts w:cstheme="minorHAnsi"/>
          <w:bCs/>
          <w:iCs/>
        </w:rPr>
        <w:t xml:space="preserve"> Corporate Strategy under this priority.</w:t>
      </w:r>
    </w:p>
    <w:p w:rsidR="00BF0F2F" w:rsidP="00887AE6" w14:paraId="1D2D9A7B" w14:textId="77777777">
      <w:pPr>
        <w:pStyle w:val="ListParagraph"/>
        <w:spacing w:line="240" w:lineRule="auto"/>
        <w:ind w:left="567" w:hanging="567"/>
        <w:rPr>
          <w:rFonts w:ascii="Arial" w:eastAsia="Calibri" w:hAnsi="Arial" w:cs="Arial"/>
        </w:rPr>
      </w:pPr>
    </w:p>
    <w:p w:rsidR="00DF7547" w:rsidRPr="00BD042B" w:rsidP="00887AE6" w14:paraId="798C20AB" w14:textId="7D77A1F5">
      <w:pPr>
        <w:pStyle w:val="ListParagraph"/>
        <w:numPr>
          <w:ilvl w:val="0"/>
          <w:numId w:val="1"/>
        </w:numPr>
        <w:spacing w:line="240" w:lineRule="auto"/>
        <w:ind w:left="567" w:hanging="567"/>
        <w:rPr>
          <w:rFonts w:ascii="Arial" w:eastAsia="Calibri" w:hAnsi="Arial" w:cs="Arial"/>
        </w:rPr>
      </w:pPr>
      <w:r>
        <w:rPr>
          <w:rFonts w:cstheme="minorHAnsi"/>
          <w:bCs/>
          <w:iCs/>
        </w:rPr>
        <w:t>Two</w:t>
      </w:r>
      <w:r w:rsidRPr="00C400C3" w:rsidR="00382D6D">
        <w:rPr>
          <w:rFonts w:cstheme="minorHAnsi"/>
          <w:bCs/>
          <w:iCs/>
        </w:rPr>
        <w:t xml:space="preserve"> project</w:t>
      </w:r>
      <w:r>
        <w:rPr>
          <w:rFonts w:cstheme="minorHAnsi"/>
          <w:bCs/>
          <w:iCs/>
        </w:rPr>
        <w:t>s</w:t>
      </w:r>
      <w:r w:rsidRPr="00C400C3" w:rsidR="00382D6D">
        <w:rPr>
          <w:rFonts w:cstheme="minorHAnsi"/>
          <w:bCs/>
          <w:iCs/>
        </w:rPr>
        <w:t xml:space="preserve"> </w:t>
      </w:r>
      <w:r>
        <w:rPr>
          <w:rFonts w:cstheme="minorHAnsi"/>
          <w:bCs/>
          <w:iCs/>
        </w:rPr>
        <w:t>are</w:t>
      </w:r>
      <w:r w:rsidRPr="00C400C3" w:rsidR="00382D6D">
        <w:rPr>
          <w:rFonts w:cstheme="minorHAnsi"/>
          <w:bCs/>
          <w:iCs/>
        </w:rPr>
        <w:t xml:space="preserve"> rated green, meaning </w:t>
      </w:r>
      <w:r w:rsidR="0057167E">
        <w:rPr>
          <w:rFonts w:cstheme="minorHAnsi"/>
          <w:bCs/>
          <w:iCs/>
        </w:rPr>
        <w:t>they are</w:t>
      </w:r>
      <w:r w:rsidRPr="00C400C3" w:rsidR="00382D6D">
        <w:rPr>
          <w:rFonts w:cstheme="minorHAnsi"/>
          <w:bCs/>
          <w:iCs/>
        </w:rPr>
        <w:t xml:space="preserve"> progressing according to timescales and plan:</w:t>
      </w:r>
    </w:p>
    <w:p w:rsidR="00DF7547" w:rsidRPr="00BD042B" w:rsidP="00BD042B" w14:paraId="0FCE44F9" w14:textId="77777777">
      <w:pPr>
        <w:pStyle w:val="ListParagraph"/>
        <w:numPr>
          <w:ilvl w:val="0"/>
          <w:numId w:val="19"/>
        </w:numPr>
        <w:spacing w:line="240" w:lineRule="auto"/>
        <w:rPr>
          <w:rFonts w:ascii="Arial" w:eastAsia="Calibri" w:hAnsi="Arial" w:cs="Arial"/>
        </w:rPr>
      </w:pPr>
      <w:r w:rsidRPr="00DF7547">
        <w:rPr>
          <w:rFonts w:ascii="Arial" w:eastAsia="Calibri" w:hAnsi="Arial" w:cs="Arial"/>
        </w:rPr>
        <w:t>Support communities to access community cooperatives in South Ribble as part of grow</w:t>
      </w:r>
      <w:r w:rsidRPr="00DF7547">
        <w:rPr>
          <w:rFonts w:ascii="Arial" w:eastAsia="Calibri" w:hAnsi="Arial" w:cs="Arial"/>
        </w:rPr>
        <w:t>ing a fair local economy</w:t>
      </w:r>
      <w:r w:rsidR="009E29D1">
        <w:rPr>
          <w:rFonts w:ascii="Arial" w:eastAsia="Calibri" w:hAnsi="Arial" w:cs="Arial"/>
        </w:rPr>
        <w:t>,</w:t>
      </w:r>
    </w:p>
    <w:p w:rsidR="009E29D1" w:rsidP="009E29D1" w14:paraId="7738B9E1" w14:textId="77777777">
      <w:pPr>
        <w:pStyle w:val="ListParagraph"/>
        <w:numPr>
          <w:ilvl w:val="0"/>
          <w:numId w:val="19"/>
        </w:numPr>
        <w:spacing w:line="240" w:lineRule="auto"/>
        <w:rPr>
          <w:rFonts w:ascii="Arial" w:eastAsia="Calibri" w:hAnsi="Arial" w:cs="Arial"/>
        </w:rPr>
      </w:pPr>
      <w:r w:rsidRPr="00BD042B">
        <w:rPr>
          <w:rFonts w:ascii="Arial" w:eastAsia="Calibri" w:hAnsi="Arial" w:cs="Arial"/>
        </w:rPr>
        <w:t>Support residents to recover from the pandemic with advice, support, and key services</w:t>
      </w:r>
      <w:r>
        <w:rPr>
          <w:rFonts w:ascii="Arial" w:eastAsia="Calibri" w:hAnsi="Arial" w:cs="Arial"/>
        </w:rPr>
        <w:t>.</w:t>
      </w:r>
    </w:p>
    <w:p w:rsidR="00DF7547" w:rsidP="005152D2" w14:paraId="563FDA22" w14:textId="77777777">
      <w:pPr>
        <w:pStyle w:val="ListParagraph"/>
        <w:spacing w:line="240" w:lineRule="auto"/>
        <w:ind w:left="360"/>
        <w:rPr>
          <w:rFonts w:ascii="Arial" w:eastAsia="Calibri" w:hAnsi="Arial" w:cs="Arial"/>
        </w:rPr>
      </w:pPr>
    </w:p>
    <w:p w:rsidR="00A47396" w:rsidP="00887AE6" w14:paraId="6AA02BAE" w14:textId="77777777">
      <w:pPr>
        <w:pStyle w:val="ListParagraph"/>
        <w:numPr>
          <w:ilvl w:val="0"/>
          <w:numId w:val="1"/>
        </w:numPr>
        <w:spacing w:after="120" w:line="240" w:lineRule="auto"/>
        <w:ind w:left="567" w:hanging="567"/>
        <w:rPr>
          <w:rFonts w:ascii="Arial" w:eastAsia="Calibri" w:hAnsi="Arial" w:cs="Arial"/>
        </w:rPr>
      </w:pPr>
      <w:r>
        <w:rPr>
          <w:rFonts w:ascii="Arial" w:eastAsia="Calibri" w:hAnsi="Arial" w:cs="Arial"/>
        </w:rPr>
        <w:t>One</w:t>
      </w:r>
      <w:r w:rsidR="00382D6D">
        <w:rPr>
          <w:rFonts w:ascii="Arial" w:eastAsia="Calibri" w:hAnsi="Arial" w:cs="Arial"/>
        </w:rPr>
        <w:t xml:space="preserve"> project </w:t>
      </w:r>
      <w:r>
        <w:rPr>
          <w:rFonts w:ascii="Arial" w:eastAsia="Calibri" w:hAnsi="Arial" w:cs="Arial"/>
        </w:rPr>
        <w:t>is</w:t>
      </w:r>
      <w:r w:rsidR="00A5150D">
        <w:rPr>
          <w:rFonts w:ascii="Arial" w:eastAsia="Calibri" w:hAnsi="Arial" w:cs="Arial"/>
        </w:rPr>
        <w:t xml:space="preserve"> rated amber</w:t>
      </w:r>
      <w:r w:rsidR="00382D6D">
        <w:rPr>
          <w:rFonts w:ascii="Arial" w:eastAsia="Calibri" w:hAnsi="Arial" w:cs="Arial"/>
        </w:rPr>
        <w:t xml:space="preserve">: </w:t>
      </w: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035"/>
        <w:gridCol w:w="2056"/>
      </w:tblGrid>
      <w:tr w14:paraId="71C68CD5" w14:textId="77777777" w:rsidTr="009E29D1">
        <w:tblPrEx>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7"/>
        </w:trPr>
        <w:tc>
          <w:tcPr>
            <w:tcW w:w="7736" w:type="dxa"/>
            <w:gridSpan w:val="2"/>
            <w:shd w:val="clear" w:color="auto" w:fill="auto"/>
            <w:vAlign w:val="center"/>
          </w:tcPr>
          <w:p w:rsidR="00A5150D" w:rsidRPr="00A5150D" w:rsidP="009E29D1" w14:paraId="1DB8B08B" w14:textId="77777777">
            <w:pPr>
              <w:widowControl w:val="0"/>
              <w:spacing w:after="0"/>
              <w:rPr>
                <w:bCs/>
              </w:rPr>
            </w:pPr>
            <w:r w:rsidRPr="00A5150D">
              <w:rPr>
                <w:rFonts w:ascii="Arial" w:eastAsia="Times New Roman" w:hAnsi="Arial" w:cs="Arial"/>
                <w:b/>
                <w:bCs/>
                <w:szCs w:val="20"/>
                <w:lang w:eastAsia="en-GB"/>
              </w:rPr>
              <w:t>Deliver transformational regeneration projects including the Town Deal</w:t>
            </w:r>
          </w:p>
        </w:tc>
        <w:tc>
          <w:tcPr>
            <w:tcW w:w="2056" w:type="dxa"/>
            <w:shd w:val="clear" w:color="auto" w:fill="FFC000"/>
            <w:vAlign w:val="center"/>
          </w:tcPr>
          <w:p w:rsidR="00A5150D" w:rsidRPr="00A5150D" w:rsidP="00A5150D" w14:paraId="51598169" w14:textId="77777777">
            <w:pPr>
              <w:widowControl w:val="0"/>
              <w:spacing w:after="0" w:line="259" w:lineRule="auto"/>
              <w:contextualSpacing/>
              <w:jc w:val="center"/>
              <w:outlineLvl w:val="0"/>
              <w:rPr>
                <w:b/>
                <w:color w:val="FFC000"/>
              </w:rPr>
            </w:pPr>
            <w:r w:rsidRPr="00A5150D">
              <w:rPr>
                <w:b/>
                <w:bCs/>
                <w:color w:val="FFFFFF" w:themeColor="background1"/>
                <w:sz w:val="24"/>
                <w:szCs w:val="24"/>
              </w:rPr>
              <w:t>AMBER</w:t>
            </w:r>
          </w:p>
        </w:tc>
      </w:tr>
      <w:tr w14:paraId="26E9FEBB" w14:textId="77777777" w:rsidTr="009B79F8">
        <w:tblPrEx>
          <w:tblW w:w="9792" w:type="dxa"/>
          <w:tblInd w:w="137" w:type="dxa"/>
          <w:tblLook w:val="04A0"/>
        </w:tblPrEx>
        <w:trPr>
          <w:cantSplit/>
          <w:trHeight w:val="1901"/>
        </w:trPr>
        <w:tc>
          <w:tcPr>
            <w:tcW w:w="1701" w:type="dxa"/>
            <w:tcBorders>
              <w:bottom w:val="single" w:sz="4" w:space="0" w:color="auto"/>
            </w:tcBorders>
            <w:shd w:val="clear" w:color="auto" w:fill="auto"/>
          </w:tcPr>
          <w:p w:rsidR="00A5150D" w:rsidRPr="00A5150D" w:rsidP="00A5150D" w14:paraId="6915B299" w14:textId="77777777">
            <w:pPr>
              <w:widowControl w:val="0"/>
              <w:rPr>
                <w:b/>
                <w:bCs/>
                <w:color w:val="FF0000"/>
              </w:rPr>
            </w:pPr>
            <w:r w:rsidRPr="00A5150D">
              <w:rPr>
                <w:b/>
                <w:bCs/>
              </w:rPr>
              <w:t>Issue:</w:t>
            </w:r>
          </w:p>
        </w:tc>
        <w:tc>
          <w:tcPr>
            <w:tcW w:w="8091" w:type="dxa"/>
            <w:gridSpan w:val="2"/>
            <w:shd w:val="clear" w:color="auto" w:fill="auto"/>
          </w:tcPr>
          <w:p w:rsidR="00DD6ECE" w:rsidRPr="00291E16" w:rsidP="009B79F8" w14:paraId="36243AA1" w14:textId="21177976">
            <w:pPr>
              <w:spacing w:after="0" w:line="240" w:lineRule="auto"/>
              <w:rPr>
                <w:rFonts w:eastAsia="Calibri" w:cs="Arial"/>
                <w:bCs/>
              </w:rPr>
            </w:pPr>
            <w:r w:rsidRPr="00DB1251">
              <w:rPr>
                <w:rFonts w:eastAsia="Calibri" w:cs="Arial"/>
                <w:bCs/>
              </w:rPr>
              <w:t>The Leyland Town deal</w:t>
            </w:r>
            <w:r w:rsidR="00A51F80">
              <w:rPr>
                <w:rFonts w:eastAsia="Calibri" w:cs="Arial"/>
                <w:bCs/>
              </w:rPr>
              <w:t xml:space="preserve"> project</w:t>
            </w:r>
            <w:r w:rsidRPr="00DB1251">
              <w:rPr>
                <w:rFonts w:eastAsia="Calibri" w:cs="Arial"/>
                <w:bCs/>
              </w:rPr>
              <w:t xml:space="preserve"> has been rated </w:t>
            </w:r>
            <w:r w:rsidRPr="00DB1251" w:rsidR="00DB1251">
              <w:rPr>
                <w:rFonts w:eastAsia="Calibri" w:cs="Arial"/>
                <w:bCs/>
              </w:rPr>
              <w:t xml:space="preserve">amber </w:t>
            </w:r>
            <w:r w:rsidR="00A51F80">
              <w:rPr>
                <w:rFonts w:eastAsia="Calibri" w:cs="Arial"/>
                <w:bCs/>
              </w:rPr>
              <w:t xml:space="preserve">in quarter two </w:t>
            </w:r>
            <w:r w:rsidR="00DB1251">
              <w:rPr>
                <w:rFonts w:eastAsia="Calibri" w:cs="Arial"/>
                <w:bCs/>
              </w:rPr>
              <w:t>due to</w:t>
            </w:r>
            <w:r w:rsidRPr="00DB1251" w:rsidR="00DB1251">
              <w:rPr>
                <w:rFonts w:eastAsia="Calibri" w:cs="Arial"/>
                <w:bCs/>
              </w:rPr>
              <w:t xml:space="preserve"> </w:t>
            </w:r>
            <w:r w:rsidRPr="00DB1251" w:rsidR="00E32BC9">
              <w:rPr>
                <w:rFonts w:eastAsia="Calibri" w:cs="Arial"/>
                <w:bCs/>
              </w:rPr>
              <w:t>the</w:t>
            </w:r>
            <w:r w:rsidR="00E32BC9">
              <w:rPr>
                <w:rFonts w:eastAsia="Calibri" w:cs="Arial"/>
                <w:bCs/>
              </w:rPr>
              <w:t xml:space="preserve"> </w:t>
            </w:r>
            <w:r w:rsidR="0057167E">
              <w:rPr>
                <w:rFonts w:eastAsia="Calibri" w:cs="Arial"/>
                <w:bCs/>
              </w:rPr>
              <w:t xml:space="preserve">risk of the implications from the outstanding </w:t>
            </w:r>
            <w:r w:rsidRPr="00DB1251" w:rsidR="00E32BC9">
              <w:rPr>
                <w:rFonts w:eastAsia="Calibri" w:cs="Arial"/>
                <w:bCs/>
              </w:rPr>
              <w:t>decision</w:t>
            </w:r>
            <w:r w:rsidRPr="00DB1251">
              <w:rPr>
                <w:rFonts w:eastAsia="Calibri" w:cs="Arial"/>
                <w:bCs/>
              </w:rPr>
              <w:t xml:space="preserve"> from </w:t>
            </w:r>
            <w:r w:rsidRPr="00DB1251" w:rsidR="00C67B67">
              <w:rPr>
                <w:rFonts w:eastAsia="Calibri" w:cs="Arial"/>
                <w:bCs/>
              </w:rPr>
              <w:t>the department of Business, Energy, and Industry Strategy (BEIS)</w:t>
            </w:r>
            <w:r w:rsidRPr="00DB1251">
              <w:rPr>
                <w:rFonts w:eastAsia="Calibri" w:cs="Arial"/>
                <w:bCs/>
              </w:rPr>
              <w:t xml:space="preserve"> on the two business cases</w:t>
            </w:r>
            <w:r w:rsidRPr="00DB1251" w:rsidR="009D5C46">
              <w:rPr>
                <w:rFonts w:eastAsia="Calibri" w:cs="Arial"/>
                <w:bCs/>
              </w:rPr>
              <w:t xml:space="preserve"> and project adjustment</w:t>
            </w:r>
            <w:r w:rsidRPr="00DB1251">
              <w:rPr>
                <w:rFonts w:eastAsia="Calibri" w:cs="Arial"/>
                <w:bCs/>
              </w:rPr>
              <w:t xml:space="preserve"> that were submitted in Mar</w:t>
            </w:r>
            <w:r w:rsidRPr="00DB1251">
              <w:rPr>
                <w:rFonts w:eastAsia="Calibri" w:cs="Arial"/>
                <w:bCs/>
              </w:rPr>
              <w:t>ch 2022</w:t>
            </w:r>
            <w:r w:rsidRPr="00DB1251" w:rsidR="00C67B67">
              <w:rPr>
                <w:rFonts w:eastAsia="Calibri" w:cs="Arial"/>
                <w:bCs/>
              </w:rPr>
              <w:t xml:space="preserve">. </w:t>
            </w:r>
            <w:r w:rsidRPr="00DB1251" w:rsidR="006765E2">
              <w:rPr>
                <w:rFonts w:eastAsia="Calibri" w:cs="Arial"/>
                <w:bCs/>
              </w:rPr>
              <w:t xml:space="preserve">The business case submissions were for the Town Centre Transformation (including Market Regeneration) and the Business Advice, Skills and Enterprise Hub (BASE 2) </w:t>
            </w:r>
            <w:r w:rsidRPr="00DB1251" w:rsidR="00A51F80">
              <w:rPr>
                <w:rFonts w:eastAsia="Calibri" w:cs="Arial"/>
                <w:bCs/>
              </w:rPr>
              <w:t>projects.</w:t>
            </w:r>
            <w:r w:rsidRPr="00DB1251" w:rsidR="006765E2">
              <w:rPr>
                <w:rFonts w:eastAsia="Calibri" w:cs="Arial"/>
                <w:bCs/>
              </w:rPr>
              <w:t xml:space="preserve">  </w:t>
            </w:r>
          </w:p>
        </w:tc>
      </w:tr>
      <w:tr w14:paraId="16396F2B" w14:textId="77777777" w:rsidTr="009E29D1">
        <w:tblPrEx>
          <w:tblW w:w="9792" w:type="dxa"/>
          <w:tblInd w:w="137" w:type="dxa"/>
          <w:tblLook w:val="04A0"/>
        </w:tblPrEx>
        <w:trPr>
          <w:cantSplit/>
          <w:trHeight w:val="1573"/>
        </w:trPr>
        <w:tc>
          <w:tcPr>
            <w:tcW w:w="1701" w:type="dxa"/>
            <w:tcBorders>
              <w:bottom w:val="single" w:sz="4" w:space="0" w:color="auto"/>
            </w:tcBorders>
            <w:shd w:val="clear" w:color="auto" w:fill="auto"/>
          </w:tcPr>
          <w:p w:rsidR="00A5150D" w:rsidRPr="00A5150D" w:rsidP="00A5150D" w14:paraId="79DE0B9F" w14:textId="77777777">
            <w:pPr>
              <w:widowControl w:val="0"/>
            </w:pPr>
            <w:r w:rsidRPr="00A5150D">
              <w:rPr>
                <w:b/>
                <w:bCs/>
              </w:rPr>
              <w:t xml:space="preserve">Action Plan -What will be done: </w:t>
            </w:r>
          </w:p>
        </w:tc>
        <w:tc>
          <w:tcPr>
            <w:tcW w:w="8091" w:type="dxa"/>
            <w:gridSpan w:val="2"/>
            <w:shd w:val="clear" w:color="auto" w:fill="auto"/>
          </w:tcPr>
          <w:p w:rsidR="00E32BC9" w:rsidP="00E32BC9" w14:paraId="333E8B5B" w14:textId="2B4BF348">
            <w:pPr>
              <w:spacing w:after="0" w:line="240" w:lineRule="auto"/>
              <w:contextualSpacing/>
            </w:pPr>
            <w:r w:rsidRPr="009B79F8">
              <w:rPr>
                <w:rFonts w:ascii="Arial" w:eastAsia="Calibri" w:hAnsi="Arial" w:cs="Times New Roman"/>
                <w:szCs w:val="18"/>
              </w:rPr>
              <w:t>The</w:t>
            </w:r>
            <w:r w:rsidRPr="009B79F8" w:rsidR="00C67B67">
              <w:rPr>
                <w:rFonts w:ascii="Arial" w:eastAsia="Calibri" w:hAnsi="Arial" w:cs="Times New Roman"/>
                <w:szCs w:val="18"/>
              </w:rPr>
              <w:t xml:space="preserve"> </w:t>
            </w:r>
            <w:r w:rsidRPr="009B79F8" w:rsidR="00284B42">
              <w:rPr>
                <w:rFonts w:ascii="Arial" w:eastAsia="Calibri" w:hAnsi="Arial" w:cs="Times New Roman"/>
                <w:szCs w:val="18"/>
              </w:rPr>
              <w:t>outcome</w:t>
            </w:r>
            <w:r w:rsidRPr="009B79F8" w:rsidR="003D3D8D">
              <w:rPr>
                <w:rFonts w:ascii="Arial" w:eastAsia="Calibri" w:hAnsi="Arial" w:cs="Times New Roman"/>
                <w:szCs w:val="18"/>
              </w:rPr>
              <w:t xml:space="preserve"> of the</w:t>
            </w:r>
            <w:r w:rsidRPr="009B79F8" w:rsidR="00284B42">
              <w:rPr>
                <w:rFonts w:ascii="Arial" w:eastAsia="Calibri" w:hAnsi="Arial" w:cs="Times New Roman"/>
                <w:szCs w:val="18"/>
              </w:rPr>
              <w:t xml:space="preserve"> </w:t>
            </w:r>
            <w:r w:rsidRPr="009B79F8" w:rsidR="00C67B67">
              <w:rPr>
                <w:rFonts w:ascii="Arial" w:eastAsia="Calibri" w:hAnsi="Arial" w:cs="Times New Roman"/>
                <w:szCs w:val="18"/>
              </w:rPr>
              <w:t>decision is largely out of the</w:t>
            </w:r>
            <w:r w:rsidRPr="009B79F8">
              <w:rPr>
                <w:rFonts w:ascii="Arial" w:eastAsia="Calibri" w:hAnsi="Arial" w:cs="Times New Roman"/>
                <w:szCs w:val="18"/>
              </w:rPr>
              <w:t xml:space="preserve"> </w:t>
            </w:r>
            <w:r w:rsidRPr="009B79F8" w:rsidR="00C67B67">
              <w:rPr>
                <w:rFonts w:ascii="Arial" w:eastAsia="Calibri" w:hAnsi="Arial" w:cs="Times New Roman"/>
                <w:szCs w:val="18"/>
              </w:rPr>
              <w:t xml:space="preserve">council’s </w:t>
            </w:r>
            <w:r w:rsidRPr="009B79F8" w:rsidR="00284B42">
              <w:rPr>
                <w:rFonts w:ascii="Arial" w:eastAsia="Calibri" w:hAnsi="Arial" w:cs="Times New Roman"/>
                <w:szCs w:val="18"/>
              </w:rPr>
              <w:t>control;</w:t>
            </w:r>
            <w:r w:rsidRPr="009B79F8" w:rsidR="00C67B67">
              <w:rPr>
                <w:rFonts w:ascii="Arial" w:eastAsia="Calibri" w:hAnsi="Arial" w:cs="Times New Roman"/>
                <w:szCs w:val="18"/>
              </w:rPr>
              <w:t xml:space="preserve"> </w:t>
            </w:r>
            <w:r w:rsidRPr="009B79F8" w:rsidR="00BF0F2F">
              <w:rPr>
                <w:rFonts w:ascii="Arial" w:eastAsia="Calibri" w:hAnsi="Arial" w:cs="Times New Roman"/>
                <w:szCs w:val="18"/>
              </w:rPr>
              <w:t>however,</w:t>
            </w:r>
            <w:r w:rsidRPr="009B79F8" w:rsidR="00C67B67">
              <w:rPr>
                <w:rFonts w:ascii="Arial" w:eastAsia="Calibri" w:hAnsi="Arial" w:cs="Times New Roman"/>
                <w:szCs w:val="18"/>
              </w:rPr>
              <w:t xml:space="preserve"> </w:t>
            </w:r>
            <w:r w:rsidR="009B79F8">
              <w:rPr>
                <w:rFonts w:ascii="Arial" w:eastAsia="Calibri" w:hAnsi="Arial" w:cs="Times New Roman"/>
                <w:szCs w:val="18"/>
              </w:rPr>
              <w:t xml:space="preserve">a Leyland Town Board meeting was held in September where </w:t>
            </w:r>
            <w:r w:rsidR="00DD6ECE">
              <w:rPr>
                <w:rFonts w:ascii="Arial" w:eastAsia="Calibri" w:hAnsi="Arial" w:cs="Times New Roman"/>
                <w:szCs w:val="18"/>
              </w:rPr>
              <w:t xml:space="preserve">it was </w:t>
            </w:r>
            <w:r w:rsidR="009B79F8">
              <w:rPr>
                <w:rFonts w:ascii="Arial" w:eastAsia="Calibri" w:hAnsi="Arial" w:cs="Times New Roman"/>
                <w:szCs w:val="18"/>
              </w:rPr>
              <w:t xml:space="preserve">agreed to send </w:t>
            </w:r>
            <w:r w:rsidRPr="009B79F8" w:rsidR="00C67B67">
              <w:rPr>
                <w:rFonts w:ascii="Arial" w:eastAsia="Calibri" w:hAnsi="Arial" w:cs="Times New Roman"/>
                <w:szCs w:val="18"/>
              </w:rPr>
              <w:t xml:space="preserve">correspondence to BEIS from the </w:t>
            </w:r>
            <w:r w:rsidRPr="009B79F8" w:rsidR="00284B42">
              <w:rPr>
                <w:rFonts w:ascii="Arial" w:eastAsia="Calibri" w:hAnsi="Arial" w:cs="Times New Roman"/>
                <w:szCs w:val="18"/>
              </w:rPr>
              <w:t>c</w:t>
            </w:r>
            <w:r w:rsidRPr="009B79F8" w:rsidR="00C67B67">
              <w:rPr>
                <w:rFonts w:ascii="Arial" w:eastAsia="Calibri" w:hAnsi="Arial" w:cs="Times New Roman"/>
                <w:szCs w:val="18"/>
              </w:rPr>
              <w:t>ouncil and the Town Dea</w:t>
            </w:r>
            <w:r w:rsidRPr="009B79F8" w:rsidR="00284B42">
              <w:rPr>
                <w:rFonts w:ascii="Arial" w:eastAsia="Calibri" w:hAnsi="Arial" w:cs="Times New Roman"/>
                <w:szCs w:val="18"/>
              </w:rPr>
              <w:t>l Board to</w:t>
            </w:r>
            <w:r w:rsidRPr="009B79F8" w:rsidR="00C67B67">
              <w:rPr>
                <w:rFonts w:ascii="Arial" w:eastAsia="Calibri" w:hAnsi="Arial" w:cs="Times New Roman"/>
                <w:szCs w:val="18"/>
              </w:rPr>
              <w:t xml:space="preserve"> expedite an outcome</w:t>
            </w:r>
            <w:r w:rsidRPr="009B79F8" w:rsidR="00284B42">
              <w:rPr>
                <w:rFonts w:ascii="Arial" w:eastAsia="Calibri" w:hAnsi="Arial" w:cs="Times New Roman"/>
                <w:szCs w:val="18"/>
              </w:rPr>
              <w:t xml:space="preserve"> in light of the potential implications to </w:t>
            </w:r>
            <w:r w:rsidRPr="009B79F8" w:rsidR="003D3D8D">
              <w:rPr>
                <w:rFonts w:ascii="Arial" w:eastAsia="Calibri" w:hAnsi="Arial" w:cs="Times New Roman"/>
                <w:szCs w:val="18"/>
              </w:rPr>
              <w:t xml:space="preserve">add </w:t>
            </w:r>
            <w:r w:rsidRPr="009B79F8" w:rsidR="00284B42">
              <w:rPr>
                <w:rFonts w:ascii="Arial" w:eastAsia="Calibri" w:hAnsi="Arial" w:cs="Times New Roman"/>
                <w:szCs w:val="18"/>
              </w:rPr>
              <w:t>delay</w:t>
            </w:r>
            <w:r w:rsidRPr="009B79F8" w:rsidR="003D3D8D">
              <w:rPr>
                <w:rFonts w:ascii="Arial" w:eastAsia="Calibri" w:hAnsi="Arial" w:cs="Times New Roman"/>
                <w:szCs w:val="18"/>
              </w:rPr>
              <w:t>s</w:t>
            </w:r>
            <w:r w:rsidRPr="009B79F8" w:rsidR="00284B42">
              <w:rPr>
                <w:rFonts w:ascii="Arial" w:eastAsia="Calibri" w:hAnsi="Arial" w:cs="Times New Roman"/>
                <w:szCs w:val="18"/>
              </w:rPr>
              <w:t xml:space="preserve"> the programme</w:t>
            </w:r>
            <w:r w:rsidRPr="009B79F8" w:rsidR="00C67B67">
              <w:rPr>
                <w:rFonts w:ascii="Arial" w:eastAsia="Calibri" w:hAnsi="Arial" w:cs="Times New Roman"/>
                <w:szCs w:val="18"/>
              </w:rPr>
              <w:t>.</w:t>
            </w:r>
            <w:r>
              <w:rPr>
                <w:rFonts w:ascii="Arial" w:eastAsia="Calibri" w:hAnsi="Arial" w:cs="Times New Roman"/>
                <w:szCs w:val="18"/>
              </w:rPr>
              <w:t xml:space="preserve"> </w:t>
            </w:r>
            <w:r w:rsidR="0057167E">
              <w:rPr>
                <w:rFonts w:ascii="Arial" w:eastAsia="Calibri" w:hAnsi="Arial" w:cs="Times New Roman"/>
                <w:szCs w:val="18"/>
              </w:rPr>
              <w:t>Over quarter two, t</w:t>
            </w:r>
            <w:r w:rsidR="00DD6ECE">
              <w:t xml:space="preserve">he project team </w:t>
            </w:r>
            <w:r w:rsidR="0080209E">
              <w:t>continue</w:t>
            </w:r>
            <w:r w:rsidR="0057167E">
              <w:t>d</w:t>
            </w:r>
            <w:r w:rsidR="00DD6ECE">
              <w:t xml:space="preserve"> to be proactive </w:t>
            </w:r>
            <w:r w:rsidR="0080209E">
              <w:t>with the completion of the RIBA Stage 3 designs and the submission of planning applications</w:t>
            </w:r>
            <w:r w:rsidR="00A51F80">
              <w:t xml:space="preserve">. </w:t>
            </w:r>
          </w:p>
          <w:p w:rsidR="00E32BC9" w:rsidP="00E32BC9" w14:paraId="7EE8041F" w14:textId="77777777">
            <w:pPr>
              <w:spacing w:after="0" w:line="240" w:lineRule="auto"/>
              <w:contextualSpacing/>
            </w:pPr>
          </w:p>
          <w:p w:rsidR="00617C40" w:rsidRPr="00617C40" w:rsidP="00E32BC9" w14:paraId="10A49D76" w14:textId="5E5976F2">
            <w:pPr>
              <w:spacing w:after="0" w:line="240" w:lineRule="auto"/>
              <w:contextualSpacing/>
            </w:pPr>
            <w:r>
              <w:t xml:space="preserve">Although out of quarter two, a decision has </w:t>
            </w:r>
            <w:r w:rsidR="0057167E">
              <w:t xml:space="preserve">been </w:t>
            </w:r>
            <w:r>
              <w:t>received in October 2022 from central government</w:t>
            </w:r>
            <w:r w:rsidR="0057167E">
              <w:t xml:space="preserve"> (BEIS)</w:t>
            </w:r>
            <w:r>
              <w:t xml:space="preserve"> granting the full amount of £25 million. It is expected that following this decision the project will be rated green and on-track in quarter three.</w:t>
            </w:r>
          </w:p>
        </w:tc>
      </w:tr>
    </w:tbl>
    <w:p w:rsidR="000F78FD" w:rsidRPr="00460D79" w:rsidP="009E29D1" w14:paraId="346A7A0C" w14:textId="77777777">
      <w:pPr>
        <w:pStyle w:val="Heading2"/>
        <w:tabs>
          <w:tab w:val="left" w:pos="6375"/>
        </w:tabs>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r>
        <w:rPr>
          <w:rFonts w:cstheme="minorHAnsi"/>
          <w:b w:val="0"/>
          <w:bCs w:val="0"/>
          <w:noProof/>
        </w:rPr>
        <mc:AlternateContent>
          <mc:Choice Requires="wpg">
            <w:drawing>
              <wp:inline distT="0" distB="0" distL="0" distR="0">
                <wp:extent cx="6257925" cy="752475"/>
                <wp:effectExtent l="38100" t="38100" r="28575" b="28575"/>
                <wp:docPr id="288" name="Group 288"/>
                <wp:cNvGraphicFramePr/>
                <a:graphic xmlns:a="http://schemas.openxmlformats.org/drawingml/2006/main">
                  <a:graphicData uri="http://schemas.microsoft.com/office/word/2010/wordprocessingGroup">
                    <wpg:wgp xmlns:wpg="http://schemas.microsoft.com/office/word/2010/wordprocessingGroup">
                      <wpg:cNvGrpSpPr/>
                      <wpg:grpSpPr>
                        <a:xfrm>
                          <a:off x="0" y="0"/>
                          <a:ext cx="6257925" cy="752475"/>
                          <a:chOff x="60758" y="58585"/>
                          <a:chExt cx="6258521" cy="678706"/>
                        </a:xfrm>
                      </wpg:grpSpPr>
                      <wpg:grpSp>
                        <wpg:cNvPr id="289" name="Group 289"/>
                        <wpg:cNvGrpSpPr/>
                        <wpg:grpSpPr>
                          <a:xfrm>
                            <a:off x="60758" y="58585"/>
                            <a:ext cx="1968686" cy="678706"/>
                            <a:chOff x="110923" y="51160"/>
                            <a:chExt cx="1971772" cy="657908"/>
                          </a:xfrm>
                        </wpg:grpSpPr>
                        <wps:wsp xmlns:wps="http://schemas.microsoft.com/office/word/2010/wordprocessingShape">
                          <wps:cNvPr id="290"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rsidR="00B10C74" w:rsidRPr="00C400C3" w:rsidP="000F78FD" w14:paraId="1BF1882E" w14:textId="77777777">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xmlns:wps="http://schemas.microsoft.com/office/word/2010/wordprocessingShape">
                          <wps:cNvPr id="291"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fill="norm" h="647700" w="647700" stroke="1">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blurRad="0" dist="23000" dir="5400000" sx="100000" sy="100000" kx="0" ky="0" algn="b" rotWithShape="0">
                                <a:srgbClr val="000000">
                                  <a:alpha val="34998"/>
                                </a:srgbClr>
                              </a:outerShdw>
                            </a:effectLst>
                          </wps:spPr>
                          <wps:txbx>
                            <w:txbxContent>
                              <w:p w:rsidR="00B10C74" w:rsidRPr="00CD1D55" w:rsidP="000F78FD" w14:paraId="6D3FEF5F" w14:textId="77777777">
                                <w:pPr>
                                  <w:spacing w:before="320"/>
                                  <w:jc w:val="center"/>
                                  <w:rPr>
                                    <w:b/>
                                    <w:color w:val="FFFFFF"/>
                                    <w:lang w:val="en-US"/>
                                  </w:rPr>
                                </w:pPr>
                                <w:r>
                                  <w:rPr>
                                    <w:b/>
                                    <w:color w:val="FFFFFF"/>
                                    <w:lang w:val="en-US"/>
                                  </w:rPr>
                                  <w:t>1</w:t>
                                </w:r>
                              </w:p>
                            </w:txbxContent>
                          </wps:txbx>
                          <wps:bodyPr rot="0" vert="horz" wrap="square" anchor="ctr" anchorCtr="0" upright="1"/>
                        </wps:wsp>
                      </wpg:grpSp>
                      <wpg:grpSp>
                        <wpg:cNvPr id="292" name="Group 292"/>
                        <wpg:cNvGrpSpPr/>
                        <wpg:grpSpPr>
                          <a:xfrm>
                            <a:off x="2215510" y="123830"/>
                            <a:ext cx="1941079" cy="605821"/>
                            <a:chOff x="121135" y="37328"/>
                            <a:chExt cx="1944347" cy="607276"/>
                          </a:xfrm>
                        </wpg:grpSpPr>
                        <wps:wsp xmlns:wps="http://schemas.microsoft.com/office/word/2010/wordprocessingShape">
                          <wps:cNvPr id="293"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rsidR="00B10C74" w:rsidRPr="00672A2D" w:rsidP="000F78FD" w14:paraId="2265E190"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xmlns:wps="http://schemas.microsoft.com/office/word/2010/wordprocessingShape">
                          <wps:cNvPr id="294"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blurRad="0" dist="23000" dir="5400000" sx="100000" sy="100000" kx="0" ky="0" algn="b" rotWithShape="0">
                                <a:srgbClr val="000000">
                                  <a:alpha val="34998"/>
                                </a:srgbClr>
                              </a:outerShdw>
                            </a:effectLst>
                          </wps:spPr>
                          <wps:txbx>
                            <w:txbxContent>
                              <w:p w:rsidR="00B10C74" w:rsidRPr="00770FF6" w:rsidP="000F78FD" w14:paraId="6C2DE381" w14:textId="77777777">
                                <w:pPr>
                                  <w:spacing w:before="60"/>
                                  <w:jc w:val="center"/>
                                  <w:rPr>
                                    <w:b/>
                                    <w:color w:val="FFFFFF"/>
                                    <w:lang w:val="en-US"/>
                                  </w:rPr>
                                </w:pPr>
                                <w:r>
                                  <w:rPr>
                                    <w:b/>
                                    <w:color w:val="FFFFFF"/>
                                    <w:lang w:val="en-US"/>
                                  </w:rPr>
                                  <w:t>0</w:t>
                                </w:r>
                              </w:p>
                            </w:txbxContent>
                          </wps:txbx>
                          <wps:bodyPr rot="0" vert="horz" wrap="square" anchor="ctr" anchorCtr="0" upright="1"/>
                        </wps:wsp>
                      </wpg:grpSp>
                      <wpg:grpSp>
                        <wpg:cNvPr id="295" name="Group 295"/>
                        <wpg:cNvGrpSpPr/>
                        <wpg:grpSpPr>
                          <a:xfrm>
                            <a:off x="4354276" y="58586"/>
                            <a:ext cx="1965003" cy="671065"/>
                            <a:chOff x="80821" y="-45110"/>
                            <a:chExt cx="1967334" cy="636979"/>
                          </a:xfrm>
                        </wpg:grpSpPr>
                        <wps:wsp xmlns:wps="http://schemas.microsoft.com/office/word/2010/wordprocessingShape">
                          <wps:cNvPr id="296"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rsidR="00B10C74" w:rsidRPr="00C400C3" w:rsidP="000F78FD" w14:paraId="5D163011" w14:textId="77777777">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297" name="Group 81"/>
                          <wpg:cNvGrpSpPr/>
                          <wpg:grpSpPr>
                            <a:xfrm>
                              <a:off x="80821" y="-45110"/>
                              <a:ext cx="508033" cy="497383"/>
                              <a:chOff x="80821" y="-45110"/>
                              <a:chExt cx="508033" cy="497383"/>
                            </a:xfrm>
                          </wpg:grpSpPr>
                          <wps:wsp xmlns:wps="http://schemas.microsoft.com/office/word/2010/wordprocessingShape">
                            <wps:cNvPr id="298"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blurRad="0" dist="23000" dir="5400000" sx="100000" sy="100000" kx="0" ky="0" algn="b" rotWithShape="0">
                                  <a:srgbClr val="000000">
                                    <a:alpha val="34998"/>
                                  </a:srgbClr>
                                </a:outerShdw>
                              </a:effectLst>
                            </wps:spPr>
                            <wps:txbx>
                              <w:txbxContent>
                                <w:p w:rsidR="00B10C74" w:rsidRPr="00AB433C" w:rsidP="000F78FD" w14:paraId="2B13E258" w14:textId="77777777">
                                  <w:pPr>
                                    <w:rPr>
                                      <w:b/>
                                      <w:color w:val="FFFFFF"/>
                                    </w:rPr>
                                  </w:pPr>
                                </w:p>
                                <w:p w:rsidR="00B10C74" w:rsidRPr="00AB433C" w:rsidP="000F78FD" w14:paraId="34DF2216" w14:textId="77777777">
                                  <w:pPr>
                                    <w:rPr>
                                      <w:b/>
                                      <w:color w:val="FFFFFF"/>
                                    </w:rPr>
                                  </w:pPr>
                                </w:p>
                              </w:txbxContent>
                            </wps:txbx>
                            <wps:bodyPr rot="0" vert="horz" wrap="square" anchor="t" anchorCtr="0" upright="1"/>
                          </wps:wsp>
                          <wps:wsp xmlns:wps="http://schemas.microsoft.com/office/word/2010/wordprocessingShape">
                            <wps:cNvPr id="299" name="Text Box 110"/>
                            <wps:cNvSpPr txBox="1">
                              <a:spLocks noChangeArrowheads="1"/>
                            </wps:cNvSpPr>
                            <wps:spPr bwMode="auto">
                              <a:xfrm>
                                <a:off x="191389" y="112826"/>
                                <a:ext cx="258445" cy="3394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B10C74" w:rsidRPr="00B0312C" w:rsidP="000F78FD" w14:paraId="1E447222" w14:textId="77777777">
                                  <w:pPr>
                                    <w:rPr>
                                      <w:b/>
                                      <w:color w:val="FFFFFF"/>
                                      <w:lang w:val="en-US"/>
                                    </w:rPr>
                                  </w:pPr>
                                  <w:r>
                                    <w:rPr>
                                      <w:b/>
                                      <w:color w:val="FFFFFF"/>
                                      <w:lang w:val="en-US"/>
                                    </w:rPr>
                                    <w:t>0</w:t>
                                  </w:r>
                                </w:p>
                              </w:txbxContent>
                            </wps:txbx>
                            <wps:bodyPr rot="0" vert="horz" wrap="square" anchor="t" anchorCtr="0" upright="1"/>
                          </wps:wsp>
                        </wpg:grpSp>
                      </wpg:grpSp>
                    </wpg:wgp>
                  </a:graphicData>
                </a:graphic>
              </wp:inline>
            </w:drawing>
          </mc:Choice>
          <mc:Fallback>
            <w:pict>
              <v:group id="Group 288" o:spid="_x0000_i1112" style="width:492.75pt;height:59.25pt;mso-position-horizontal-relative:char;mso-position-vertical-relative:line" coordorigin="607,585" coordsize="62585,6787">
                <v:group id="Group 289" o:spid="_x0000_s1113" style="width:19687;height:6787;left:607;position:absolute;top:585" coordorigin="1109,511" coordsize="19717,6579">
                  <v:shape id="Rectangle 73" o:spid="_x0000_s1114" type="#_x0000_t176" style="width:17291;height:4592;flip:x;left:3535;mso-wrap-style:square;position:absolute;top:2498;visibility:visible;v-text-anchor:middle" strokecolor="#92d050" strokeweight="2pt">
                    <v:textbox>
                      <w:txbxContent>
                        <w:p w:rsidR="00B10C74" w:rsidRPr="00C400C3" w:rsidP="000F78FD" w14:paraId="5D8A9599" w14:textId="77777777">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15" style="width:5921;height:5080;left:1109;mso-wrap-style:square;position:absolute;top:511;visibility:visible;v-text-anchor:middle" coordsize="647700,647700" o:spt="100" adj="-11796480,,5400" path="m1,247399l247401,247400l323850,l400299,247400l647699,247399,447547,400299l524000,647698l323850,494795,123700,647698,200153,400299,1,247399xe" fillcolor="#92d050" strokecolor="#92d050">
                    <v:stroke joinstyle="miter"/>
                    <v:shadow on="t" color="black" opacity="22936f" origin=",0.5" offset="0,1.81pt"/>
                    <v:formulas/>
                    <v:path arrowok="t" o:connecttype="custom" o:connectlocs="1,194016;226163,194017;296049,0;365935,194017;592097,194016;409127,313924;479017,507940;296049,388030;113081,507940;182971,313924;1,194016" o:connectangles="0,0,0,0,0,0,0,0,0,0,0" textboxrect="0,0,647700,647700"/>
                    <v:textbox>
                      <w:txbxContent>
                        <w:p w:rsidR="00B10C74" w:rsidRPr="00CD1D55" w:rsidP="000F78FD" w14:paraId="70E2AF7A" w14:textId="77777777">
                          <w:pPr>
                            <w:spacing w:before="320"/>
                            <w:jc w:val="center"/>
                            <w:rPr>
                              <w:b/>
                              <w:color w:val="FFFFFF"/>
                              <w:lang w:val="en-US"/>
                            </w:rPr>
                          </w:pPr>
                          <w:r>
                            <w:rPr>
                              <w:b/>
                              <w:color w:val="FFFFFF"/>
                              <w:lang w:val="en-US"/>
                            </w:rPr>
                            <w:t>1</w:t>
                          </w:r>
                        </w:p>
                      </w:txbxContent>
                    </v:textbox>
                  </v:shape>
                </v:group>
                <v:group id="Group 292" o:spid="_x0000_s1116" style="width:19410;height:6058;left:22155;position:absolute;top:1238" coordorigin="1211,373" coordsize="19443,6072">
                  <v:roundrect id="Rectangle 67" o:spid="_x0000_s1117" style="width:17290;height:4899;flip:x;left:3364;mso-wrap-style:square;position:absolute;top:1547;visibility:visible;v-text-anchor:middle" arcsize="10923f" strokecolor="#4f81bd" strokeweight="2pt">
                    <v:stroke joinstyle="miter"/>
                    <v:textbox>
                      <w:txbxContent>
                        <w:p w:rsidR="00B10C74" w:rsidRPr="00672A2D" w:rsidP="000F78FD" w14:paraId="7C2AD2E3"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18" style="width:4192;height:4311;left:1211;mso-wrap-style:square;position:absolute;top:373;visibility:visible;v-text-anchor:middle" fillcolor="#0070c0" strokecolor="#4a7ebb">
                    <v:shadow on="t" color="black" opacity="22936f" origin=",0.5" offset="0,1.81pt"/>
                    <v:textbox>
                      <w:txbxContent>
                        <w:p w:rsidR="00B10C74" w:rsidRPr="00770FF6" w:rsidP="000F78FD" w14:paraId="3B3DE6AB" w14:textId="77777777">
                          <w:pPr>
                            <w:spacing w:before="60"/>
                            <w:jc w:val="center"/>
                            <w:rPr>
                              <w:b/>
                              <w:color w:val="FFFFFF"/>
                              <w:lang w:val="en-US"/>
                            </w:rPr>
                          </w:pPr>
                          <w:r>
                            <w:rPr>
                              <w:b/>
                              <w:color w:val="FFFFFF"/>
                              <w:lang w:val="en-US"/>
                            </w:rPr>
                            <w:t>0</w:t>
                          </w:r>
                        </w:p>
                      </w:txbxContent>
                    </v:textbox>
                  </v:oval>
                </v:group>
                <v:group id="Group 295" o:spid="_x0000_s1119" style="width:19650;height:6711;left:43542;position:absolute;top:585" coordorigin="808,-451" coordsize="19673,6369">
                  <v:roundrect id="Rectangle 76" o:spid="_x0000_s1120" style="width:17291;height:4647;flip:x;left:3190;mso-wrap-style:square;position:absolute;top:1271;visibility:visible;v-text-anchor:middle" arcsize="10923f" strokecolor="#c00000" strokeweight="2pt">
                    <v:stroke joinstyle="miter"/>
                    <v:textbox>
                      <w:txbxContent>
                        <w:p w:rsidR="00B10C74" w:rsidRPr="00C400C3" w:rsidP="000F78FD" w14:paraId="32B61745" w14:textId="77777777">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121" style="width:5080;height:4973;left:808;position:absolute;top:-451" coordorigin="808,-451" coordsize="5080,4973">
                    <v:shape id="Isosceles Triangle 83" o:spid="_x0000_s1122" type="#_x0000_t5" style="width:5080;height:3928;left:808;mso-wrap-style:square;position:absolute;top:-451;visibility:visible;v-text-anchor:top" adj="10504" fillcolor="#c00000" strokecolor="red">
                      <v:shadow on="t" color="black" opacity="22936f" origin=",0.5" offset="0,1.81pt"/>
                      <v:textbox>
                        <w:txbxContent>
                          <w:p w:rsidR="00B10C74" w:rsidRPr="00AB433C" w:rsidP="000F78FD" w14:paraId="7034201D" w14:textId="77777777">
                            <w:pPr>
                              <w:rPr>
                                <w:b/>
                                <w:color w:val="FFFFFF"/>
                              </w:rPr>
                            </w:pPr>
                          </w:p>
                          <w:p w:rsidR="00B10C74" w:rsidRPr="00AB433C" w:rsidP="000F78FD" w14:paraId="1AC0EE2D" w14:textId="77777777">
                            <w:pPr>
                              <w:rPr>
                                <w:b/>
                                <w:color w:val="FFFFFF"/>
                              </w:rPr>
                            </w:pPr>
                          </w:p>
                        </w:txbxContent>
                      </v:textbox>
                    </v:shape>
                    <v:shape id="Text Box 110" o:spid="_x0000_s1123" type="#_x0000_t202" style="width:2585;height:3394;left:1913;mso-wrap-style:square;position:absolute;top:1128;visibility:visible;v-text-anchor:top" filled="f" stroked="f" strokeweight="0.5pt">
                      <v:textbox>
                        <w:txbxContent>
                          <w:p w:rsidR="00B10C74" w:rsidRPr="00B0312C" w:rsidP="000F78FD" w14:paraId="099166A3" w14:textId="77777777">
                            <w:pPr>
                              <w:rPr>
                                <w:b/>
                                <w:color w:val="FFFFFF"/>
                                <w:lang w:val="en-US"/>
                              </w:rPr>
                            </w:pPr>
                            <w:r>
                              <w:rPr>
                                <w:b/>
                                <w:color w:val="FFFFFF"/>
                                <w:lang w:val="en-US"/>
                              </w:rPr>
                              <w:t>0</w:t>
                            </w:r>
                          </w:p>
                        </w:txbxContent>
                      </v:textbox>
                    </v:shape>
                  </v:group>
                </v:group>
                <w10:wrap type="none"/>
                <w10:anchorlock/>
              </v:group>
            </w:pict>
          </mc:Fallback>
        </mc:AlternateContent>
      </w:r>
    </w:p>
    <w:p w:rsidR="00291E16" w:rsidRPr="00291E16" w:rsidP="000F78FD" w14:paraId="11A4AD62" w14:textId="6E02C974">
      <w:pPr>
        <w:pStyle w:val="ListParagraph"/>
        <w:numPr>
          <w:ilvl w:val="0"/>
          <w:numId w:val="1"/>
        </w:numPr>
        <w:spacing w:after="0" w:line="240" w:lineRule="auto"/>
        <w:ind w:left="567" w:hanging="567"/>
        <w:rPr>
          <w:rFonts w:eastAsia="Times New Roman" w:cstheme="minorHAnsi"/>
          <w:lang w:eastAsia="en-GB"/>
        </w:rPr>
      </w:pPr>
      <w:r w:rsidRPr="001E1416">
        <w:rPr>
          <w:rFonts w:cstheme="minorHAnsi"/>
          <w:bCs/>
          <w:iCs/>
        </w:rPr>
        <w:t xml:space="preserve">At the end of quarter </w:t>
      </w:r>
      <w:r w:rsidR="0064019C">
        <w:rPr>
          <w:rFonts w:cstheme="minorHAnsi"/>
          <w:bCs/>
          <w:iCs/>
        </w:rPr>
        <w:t>two</w:t>
      </w:r>
      <w:r w:rsidRPr="001E1416">
        <w:rPr>
          <w:rFonts w:cstheme="minorHAnsi"/>
          <w:bCs/>
          <w:iCs/>
        </w:rPr>
        <w:t xml:space="preserve">, </w:t>
      </w:r>
      <w:r>
        <w:rPr>
          <w:rFonts w:cstheme="minorHAnsi"/>
          <w:bCs/>
          <w:iCs/>
        </w:rPr>
        <w:t>two</w:t>
      </w:r>
      <w:r w:rsidRPr="001E1416">
        <w:rPr>
          <w:rFonts w:cstheme="minorHAnsi"/>
          <w:bCs/>
          <w:iCs/>
        </w:rPr>
        <w:t xml:space="preserve"> of the </w:t>
      </w:r>
      <w:r>
        <w:rPr>
          <w:rFonts w:cstheme="minorHAnsi"/>
          <w:bCs/>
          <w:iCs/>
        </w:rPr>
        <w:t>five</w:t>
      </w:r>
      <w:r w:rsidRPr="001E1416">
        <w:rPr>
          <w:rFonts w:cstheme="minorHAnsi"/>
          <w:bCs/>
          <w:iCs/>
        </w:rPr>
        <w:t xml:space="preserve"> corporate performance indicators under this priority</w:t>
      </w:r>
      <w:r>
        <w:rPr>
          <w:rFonts w:cstheme="minorHAnsi"/>
          <w:bCs/>
          <w:iCs/>
        </w:rPr>
        <w:t xml:space="preserve"> are due to be reported. </w:t>
      </w:r>
    </w:p>
    <w:p w:rsidR="00291E16" w:rsidRPr="00291E16" w:rsidP="00291E16" w14:paraId="7BF7635E" w14:textId="77777777">
      <w:pPr>
        <w:pStyle w:val="ListParagraph"/>
        <w:spacing w:after="0" w:line="240" w:lineRule="auto"/>
        <w:ind w:left="567"/>
        <w:rPr>
          <w:rFonts w:eastAsia="Times New Roman" w:cstheme="minorHAnsi"/>
          <w:lang w:eastAsia="en-GB"/>
        </w:rPr>
      </w:pPr>
    </w:p>
    <w:p w:rsidR="00291E16" w:rsidRPr="00291E16" w:rsidP="000F78FD" w14:paraId="5FCDAD32" w14:textId="5CAC13A5">
      <w:pPr>
        <w:pStyle w:val="ListParagraph"/>
        <w:numPr>
          <w:ilvl w:val="0"/>
          <w:numId w:val="1"/>
        </w:numPr>
        <w:spacing w:after="0" w:line="240" w:lineRule="auto"/>
        <w:ind w:left="567" w:hanging="567"/>
        <w:rPr>
          <w:rFonts w:eastAsia="Times New Roman" w:cstheme="minorHAnsi"/>
          <w:lang w:eastAsia="en-GB"/>
        </w:rPr>
      </w:pPr>
      <w:r>
        <w:rPr>
          <w:rFonts w:cstheme="minorHAnsi"/>
          <w:bCs/>
          <w:iCs/>
        </w:rPr>
        <w:t xml:space="preserve">One measure is </w:t>
      </w:r>
      <w:r w:rsidRPr="001E1416">
        <w:rPr>
          <w:rFonts w:cstheme="minorHAnsi"/>
          <w:bCs/>
          <w:iCs/>
        </w:rPr>
        <w:t>performing on or better than target:</w:t>
      </w:r>
    </w:p>
    <w:p w:rsidR="00291E16" w:rsidRPr="00291E16" w:rsidP="00291E16" w14:paraId="41F1270E" w14:textId="5B741169">
      <w:pPr>
        <w:pStyle w:val="ListParagraph"/>
        <w:numPr>
          <w:ilvl w:val="0"/>
          <w:numId w:val="35"/>
        </w:numPr>
        <w:spacing w:after="0" w:line="240" w:lineRule="auto"/>
        <w:rPr>
          <w:rFonts w:eastAsia="Times New Roman" w:cstheme="minorHAnsi"/>
          <w:lang w:eastAsia="en-GB"/>
        </w:rPr>
      </w:pPr>
      <w:r w:rsidRPr="00333B8F">
        <w:rPr>
          <w:rFonts w:eastAsia="Calibri" w:cs="Times New Roman"/>
        </w:rPr>
        <w:t>Overall employment rate greater than north west average</w:t>
      </w:r>
    </w:p>
    <w:p w:rsidR="00291E16" w:rsidRPr="00291E16" w:rsidP="00291E16" w14:paraId="0488EAA6" w14:textId="77777777">
      <w:pPr>
        <w:pStyle w:val="ListParagraph"/>
        <w:spacing w:after="0" w:line="240" w:lineRule="auto"/>
        <w:ind w:left="567"/>
        <w:rPr>
          <w:rFonts w:eastAsia="Times New Roman" w:cstheme="minorHAnsi"/>
          <w:lang w:eastAsia="en-GB"/>
        </w:rPr>
      </w:pPr>
    </w:p>
    <w:p w:rsidR="000F78FD" w:rsidRPr="00291E16" w:rsidP="000F78FD" w14:paraId="73D8E563" w14:textId="239E97DC">
      <w:pPr>
        <w:pStyle w:val="ListParagraph"/>
        <w:numPr>
          <w:ilvl w:val="0"/>
          <w:numId w:val="1"/>
        </w:numPr>
        <w:spacing w:after="0" w:line="240" w:lineRule="auto"/>
        <w:ind w:left="567" w:hanging="567"/>
        <w:rPr>
          <w:rFonts w:eastAsia="Times New Roman" w:cstheme="minorHAnsi"/>
          <w:lang w:eastAsia="en-GB"/>
        </w:rPr>
      </w:pPr>
      <w:r>
        <w:rPr>
          <w:rFonts w:cstheme="minorHAnsi"/>
          <w:bCs/>
          <w:iCs/>
        </w:rPr>
        <w:t>One</w:t>
      </w:r>
      <w:r w:rsidR="00627E92">
        <w:rPr>
          <w:rFonts w:cstheme="minorHAnsi"/>
          <w:bCs/>
          <w:iCs/>
        </w:rPr>
        <w:t xml:space="preserve"> </w:t>
      </w:r>
      <w:r>
        <w:rPr>
          <w:rFonts w:cstheme="minorHAnsi"/>
          <w:bCs/>
          <w:iCs/>
        </w:rPr>
        <w:t xml:space="preserve">measure </w:t>
      </w:r>
      <w:r w:rsidR="00627E92">
        <w:rPr>
          <w:rFonts w:cstheme="minorHAnsi"/>
          <w:bCs/>
          <w:iCs/>
        </w:rPr>
        <w:t>is being baselined</w:t>
      </w:r>
      <w:r w:rsidRPr="001E1416" w:rsidR="0018682D">
        <w:rPr>
          <w:rFonts w:cstheme="minorHAnsi"/>
          <w:bCs/>
          <w:iCs/>
        </w:rPr>
        <w:t>.</w:t>
      </w:r>
    </w:p>
    <w:p w:rsidR="001A4ECB" w:rsidP="009E29D1" w14:paraId="357425D4" w14:textId="17FE0B88">
      <w:pPr>
        <w:pStyle w:val="ListParagraph"/>
        <w:numPr>
          <w:ilvl w:val="0"/>
          <w:numId w:val="4"/>
        </w:numPr>
        <w:spacing w:after="120" w:line="240" w:lineRule="auto"/>
        <w:ind w:left="1418"/>
        <w:rPr>
          <w:rFonts w:eastAsia="Calibri" w:cs="Times New Roman"/>
        </w:rPr>
      </w:pPr>
      <w:r w:rsidRPr="009E29D1">
        <w:rPr>
          <w:rFonts w:eastAsia="Calibri" w:cs="Times New Roman"/>
        </w:rPr>
        <w:t xml:space="preserve">The total social value </w:t>
      </w:r>
      <w:r w:rsidRPr="009E29D1">
        <w:rPr>
          <w:rFonts w:eastAsia="Calibri" w:cs="Times New Roman"/>
        </w:rPr>
        <w:t>delivered locally through the Social Value portal.</w:t>
      </w:r>
    </w:p>
    <w:p w:rsidR="00323784" w:rsidRPr="00323784" w:rsidP="00A340BC" w14:paraId="43DBFDCC" w14:textId="77777777">
      <w:pPr>
        <w:spacing w:after="120" w:line="240" w:lineRule="auto"/>
        <w:sectPr w:rsidSect="004315BF">
          <w:pgSz w:w="11906" w:h="16838"/>
          <w:pgMar w:top="1134" w:right="1440" w:bottom="851" w:left="1440" w:header="708" w:footer="708" w:gutter="0"/>
          <w:cols w:space="708"/>
          <w:docGrid w:linePitch="360"/>
        </w:sect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3041"/>
        <w:gridCol w:w="3044"/>
      </w:tblGrid>
      <w:tr w14:paraId="05507A4D" w14:textId="77777777" w:rsidTr="0006284E">
        <w:tblPrEx>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30"/>
        </w:trPr>
        <w:tc>
          <w:tcPr>
            <w:tcW w:w="9125" w:type="dxa"/>
            <w:gridSpan w:val="3"/>
            <w:tcBorders>
              <w:top w:val="nil"/>
              <w:left w:val="nil"/>
              <w:right w:val="nil"/>
            </w:tcBorders>
            <w:shd w:val="clear" w:color="auto" w:fill="auto"/>
          </w:tcPr>
          <w:p w:rsidR="00A47396" w:rsidRPr="00D312F8" w:rsidP="0006284E" w14:paraId="69A45565" w14:textId="555A796B">
            <w:pPr>
              <w:widowControl w:val="0"/>
              <w:spacing w:after="0" w:line="256" w:lineRule="auto"/>
              <w:ind w:firstLine="208"/>
              <w:contextualSpacing/>
              <w:outlineLvl w:val="0"/>
              <w:rPr>
                <w:rFonts w:ascii="Arial" w:eastAsia="Calibri" w:hAnsi="Arial" w:cs="Arial"/>
                <w:b/>
              </w:rPr>
            </w:pPr>
            <w:bookmarkStart w:id="9" w:name="_Hlk54078399"/>
            <w:r w:rsidRPr="00D312F8">
              <w:rPr>
                <w:rFonts w:ascii="Arial" w:eastAsia="Calibri" w:hAnsi="Arial" w:cs="Times New Roman"/>
                <w:noProof/>
              </w:rPr>
              <w:drawing>
                <wp:anchor distT="0" distB="0" distL="114300" distR="114300" simplePos="0" relativeHeight="251659264" behindDoc="0" locked="0" layoutInCell="1" allowOverlap="1">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Pr>
                <w:rFonts w:ascii="Arial" w:eastAsia="Calibri" w:hAnsi="Arial"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237.75pt;height:93.75pt">
                  <v:imagedata r:id="rId13" o:title=""/>
                </v:shape>
              </w:pict>
            </w:r>
            <w:r>
              <w:rPr>
                <w:rFonts w:ascii="Arial" w:eastAsia="Calibri" w:hAnsi="Arial" w:cs="Times New Roman"/>
              </w:rPr>
              <w:pict>
                <v:shape id="_x0000_i1125" type="#_x0000_t75" style="width:237.75pt;height:93.75pt">
                  <v:imagedata r:id="rId13" o:title=""/>
                </v:shape>
              </w:pict>
            </w:r>
          </w:p>
          <w:p w:rsidR="00A47396" w:rsidRPr="00D312F8" w:rsidP="0006284E" w14:paraId="606CFF2C" w14:textId="77777777">
            <w:pPr>
              <w:widowControl w:val="0"/>
              <w:spacing w:after="0" w:line="256" w:lineRule="auto"/>
              <w:contextualSpacing/>
              <w:outlineLvl w:val="0"/>
              <w:rPr>
                <w:rFonts w:ascii="Arial" w:eastAsia="Calibri" w:hAnsi="Arial" w:cs="Arial"/>
                <w:b/>
                <w:color w:val="8BBD3B"/>
              </w:rPr>
            </w:pPr>
          </w:p>
          <w:p w:rsidR="00A47396" w:rsidRPr="00D312F8" w:rsidP="0006284E" w14:paraId="50862203" w14:textId="77777777">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BOROUGH WITH:</w:t>
            </w:r>
          </w:p>
          <w:p w:rsidR="00A47396" w:rsidRPr="00D312F8" w:rsidP="0006284E" w14:paraId="44D39D90" w14:textId="77777777">
            <w:pPr>
              <w:widowControl w:val="0"/>
              <w:spacing w:after="0" w:line="256" w:lineRule="auto"/>
              <w:contextualSpacing/>
              <w:outlineLvl w:val="0"/>
              <w:rPr>
                <w:rFonts w:ascii="Arial" w:eastAsia="Calibri" w:hAnsi="Arial" w:cs="Arial"/>
                <w:b/>
                <w:color w:val="8BBD3B"/>
              </w:rPr>
            </w:pPr>
          </w:p>
        </w:tc>
      </w:tr>
      <w:tr w14:paraId="0DBC7BE9" w14:textId="77777777" w:rsidTr="00A47396">
        <w:tblPrEx>
          <w:tblW w:w="9125" w:type="dxa"/>
          <w:tblLook w:val="04A0"/>
        </w:tblPrEx>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rsidR="00A47396" w:rsidRPr="00D312F8" w:rsidP="0006284E" w14:paraId="7B709F68" w14:textId="77777777">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rsidR="00A47396" w:rsidRPr="00D312F8" w:rsidP="0006284E" w14:paraId="2AA044E8" w14:textId="77777777">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Commitment to protecting the local environment</w:t>
            </w:r>
          </w:p>
        </w:tc>
        <w:tc>
          <w:tcPr>
            <w:tcW w:w="3044" w:type="dxa"/>
            <w:tcBorders>
              <w:top w:val="single" w:sz="18" w:space="0" w:color="FFFFFF"/>
              <w:left w:val="single" w:sz="18" w:space="0" w:color="FFFFFF"/>
              <w:bottom w:val="single" w:sz="18" w:space="0" w:color="FFFFFF"/>
              <w:right w:val="single" w:sz="18" w:space="0" w:color="FFFFFF"/>
            </w:tcBorders>
            <w:shd w:val="clear" w:color="auto" w:fill="auto"/>
          </w:tcPr>
          <w:p w:rsidR="00A47396" w:rsidRPr="00D312F8" w:rsidP="0006284E" w14:paraId="61802FF4" w14:textId="77777777">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quality recreational activities</w:t>
            </w:r>
          </w:p>
        </w:tc>
      </w:tr>
    </w:tbl>
    <w:bookmarkEnd w:id="9"/>
    <w:p w:rsidR="00A47396" w:rsidP="00A47396" w14:paraId="12EA4C13" w14:textId="578F684E">
      <w:pPr>
        <w:pStyle w:val="Heading2"/>
        <w:rPr>
          <w:rFonts w:asciiTheme="majorHAnsi" w:hAnsiTheme="majorHAnsi" w:cstheme="majorHAnsi"/>
          <w:sz w:val="22"/>
          <w:szCs w:val="22"/>
        </w:rPr>
      </w:pPr>
      <w:r w:rsidRPr="00460D79">
        <w:rPr>
          <w:rFonts w:asciiTheme="majorHAnsi" w:hAnsiTheme="majorHAnsi" w:cstheme="majorHAnsi"/>
          <w:sz w:val="22"/>
          <w:szCs w:val="22"/>
        </w:rPr>
        <w:t xml:space="preserve">Achievements this </w:t>
      </w:r>
      <w:r w:rsidRPr="00460D79">
        <w:rPr>
          <w:rFonts w:asciiTheme="majorHAnsi" w:hAnsiTheme="majorHAnsi" w:cstheme="majorHAnsi"/>
          <w:sz w:val="22"/>
          <w:szCs w:val="22"/>
        </w:rPr>
        <w:t>quarter</w:t>
      </w:r>
    </w:p>
    <w:p w:rsidR="00EF3921" w:rsidRPr="00617C40" w:rsidP="00617C40" w14:paraId="08593DF6" w14:textId="4E3D3416">
      <w:pPr>
        <w:pStyle w:val="ListParagraph"/>
        <w:numPr>
          <w:ilvl w:val="0"/>
          <w:numId w:val="1"/>
        </w:numPr>
        <w:spacing w:after="0" w:line="240" w:lineRule="auto"/>
        <w:ind w:left="567" w:hanging="567"/>
        <w:rPr>
          <w:rFonts w:ascii="Arial" w:eastAsia="Calibri" w:hAnsi="Arial" w:cs="Times New Roman"/>
        </w:rPr>
      </w:pPr>
      <w:r w:rsidRPr="00617C40">
        <w:rPr>
          <w:rFonts w:ascii="Arial" w:eastAsia="Calibri" w:hAnsi="Arial" w:cs="Times New Roman"/>
        </w:rPr>
        <w:t xml:space="preserve">Worden Hall </w:t>
      </w:r>
      <w:r w:rsidR="00617C40">
        <w:rPr>
          <w:rFonts w:ascii="Arial" w:eastAsia="Calibri" w:hAnsi="Arial" w:cs="Times New Roman"/>
        </w:rPr>
        <w:t>has</w:t>
      </w:r>
      <w:r w:rsidRPr="00617C40">
        <w:rPr>
          <w:rFonts w:ascii="Arial" w:eastAsia="Calibri" w:hAnsi="Arial" w:cs="Times New Roman"/>
        </w:rPr>
        <w:t xml:space="preserve"> reopened </w:t>
      </w:r>
      <w:r w:rsidRPr="00617C40" w:rsidR="003A4A8D">
        <w:rPr>
          <w:rFonts w:ascii="Arial" w:eastAsia="Calibri" w:hAnsi="Arial" w:cs="Times New Roman"/>
        </w:rPr>
        <w:t>on 30 September</w:t>
      </w:r>
      <w:r w:rsidRPr="00617C40" w:rsidR="00E514C8">
        <w:rPr>
          <w:rFonts w:ascii="Arial" w:eastAsia="Calibri" w:hAnsi="Arial" w:cs="Times New Roman"/>
        </w:rPr>
        <w:t xml:space="preserve"> following an investment of £2.8 million and marks the</w:t>
      </w:r>
      <w:r w:rsidRPr="00617C40" w:rsidR="003A4A8D">
        <w:rPr>
          <w:rFonts w:ascii="Arial" w:eastAsia="Calibri" w:hAnsi="Arial" w:cs="Times New Roman"/>
        </w:rPr>
        <w:t xml:space="preserve"> complet</w:t>
      </w:r>
      <w:r w:rsidRPr="00617C40" w:rsidR="00E514C8">
        <w:rPr>
          <w:rFonts w:ascii="Arial" w:eastAsia="Calibri" w:hAnsi="Arial" w:cs="Times New Roman"/>
        </w:rPr>
        <w:t>ion of</w:t>
      </w:r>
      <w:r w:rsidRPr="00617C40" w:rsidR="003A4A8D">
        <w:rPr>
          <w:rFonts w:ascii="Arial" w:eastAsia="Calibri" w:hAnsi="Arial" w:cs="Times New Roman"/>
        </w:rPr>
        <w:t xml:space="preserve"> extensive </w:t>
      </w:r>
      <w:r w:rsidRPr="00617C40" w:rsidR="00E514C8">
        <w:rPr>
          <w:rFonts w:ascii="Arial" w:eastAsia="Calibri" w:hAnsi="Arial" w:cs="Times New Roman"/>
        </w:rPr>
        <w:t>renovations</w:t>
      </w:r>
      <w:r w:rsidRPr="00617C40" w:rsidR="003A4A8D">
        <w:rPr>
          <w:rFonts w:ascii="Arial" w:eastAsia="Calibri" w:hAnsi="Arial" w:cs="Times New Roman"/>
        </w:rPr>
        <w:t xml:space="preserve"> </w:t>
      </w:r>
      <w:r w:rsidRPr="00617C40" w:rsidR="00E514C8">
        <w:rPr>
          <w:rFonts w:ascii="Arial" w:eastAsia="Calibri" w:hAnsi="Arial" w:cs="Times New Roman"/>
        </w:rPr>
        <w:t>to</w:t>
      </w:r>
      <w:r w:rsidRPr="00617C40" w:rsidR="003A4A8D">
        <w:rPr>
          <w:rFonts w:ascii="Arial" w:eastAsia="Calibri" w:hAnsi="Arial" w:cs="Times New Roman"/>
        </w:rPr>
        <w:t xml:space="preserve"> the stunning grade II liste</w:t>
      </w:r>
      <w:r w:rsidRPr="00617C40" w:rsidR="00E514C8">
        <w:rPr>
          <w:rFonts w:ascii="Arial" w:eastAsia="Calibri" w:hAnsi="Arial" w:cs="Times New Roman"/>
        </w:rPr>
        <w:t>d</w:t>
      </w:r>
      <w:r w:rsidRPr="00617C40" w:rsidR="003A4A8D">
        <w:rPr>
          <w:rFonts w:ascii="Arial" w:eastAsia="Calibri" w:hAnsi="Arial" w:cs="Times New Roman"/>
        </w:rPr>
        <w:t xml:space="preserve"> building </w:t>
      </w:r>
      <w:r w:rsidRPr="00617C40" w:rsidR="00E514C8">
        <w:rPr>
          <w:rFonts w:ascii="Arial" w:eastAsia="Calibri" w:hAnsi="Arial" w:cs="Times New Roman"/>
        </w:rPr>
        <w:t>at</w:t>
      </w:r>
      <w:r w:rsidRPr="00617C40" w:rsidR="003A4A8D">
        <w:rPr>
          <w:rFonts w:ascii="Arial" w:eastAsia="Calibri" w:hAnsi="Arial" w:cs="Times New Roman"/>
        </w:rPr>
        <w:t xml:space="preserve"> the </w:t>
      </w:r>
      <w:r w:rsidRPr="00617C40" w:rsidR="00E514C8">
        <w:rPr>
          <w:rFonts w:ascii="Arial" w:eastAsia="Calibri" w:hAnsi="Arial" w:cs="Times New Roman"/>
        </w:rPr>
        <w:t xml:space="preserve">heart of the award winning Worden Park. The refurbished Hall is home to </w:t>
      </w:r>
      <w:r w:rsidRPr="00617C40" w:rsidR="00911782">
        <w:rPr>
          <w:rFonts w:ascii="Arial" w:eastAsia="Calibri" w:hAnsi="Arial" w:cs="Times New Roman"/>
        </w:rPr>
        <w:t>spectacular</w:t>
      </w:r>
      <w:r w:rsidRPr="00617C40" w:rsidR="00E514C8">
        <w:rPr>
          <w:rFonts w:ascii="Arial" w:eastAsia="Calibri" w:hAnsi="Arial" w:cs="Times New Roman"/>
        </w:rPr>
        <w:t xml:space="preserve"> event and wedding spaces, community use spaces and a retail unit along with the Folly Coffee House and Deli. </w:t>
      </w:r>
      <w:r w:rsidRPr="00617C40" w:rsidR="00911782">
        <w:rPr>
          <w:rFonts w:ascii="Arial" w:eastAsia="Calibri" w:hAnsi="Arial" w:cs="Times New Roman"/>
        </w:rPr>
        <w:t>The landmark refurbishment saw the removal of the central conservatory to make way for a beautiful entrance area and courtyard, damaged windows were replaced and a re-configuration of downstairs rooms has taken place to allow for two new kitchen areas; one which will serve the Folly Cafe and Deli in its new location as part of the Hall and one to serve the new multi-use event space in the iconic Barn. The Barn is available for small weddings and other events and has a new roof, windows</w:t>
      </w:r>
      <w:r w:rsidRPr="00617C40" w:rsidR="00624B1D">
        <w:rPr>
          <w:rFonts w:ascii="Arial" w:eastAsia="Calibri" w:hAnsi="Arial" w:cs="Times New Roman"/>
        </w:rPr>
        <w:t>,</w:t>
      </w:r>
      <w:r w:rsidRPr="00617C40" w:rsidR="00911782">
        <w:rPr>
          <w:rFonts w:ascii="Arial" w:eastAsia="Calibri" w:hAnsi="Arial" w:cs="Times New Roman"/>
        </w:rPr>
        <w:t xml:space="preserve"> and lighting. The Courtyard Hall</w:t>
      </w:r>
      <w:r w:rsidRPr="00617C40" w:rsidR="00D80A52">
        <w:rPr>
          <w:rFonts w:ascii="Arial" w:eastAsia="Calibri" w:hAnsi="Arial" w:cs="Times New Roman"/>
        </w:rPr>
        <w:t>, transformed from the old stables</w:t>
      </w:r>
      <w:r w:rsidRPr="00617C40" w:rsidR="00911782">
        <w:rPr>
          <w:rFonts w:ascii="Arial" w:eastAsia="Calibri" w:hAnsi="Arial" w:cs="Times New Roman"/>
        </w:rPr>
        <w:t xml:space="preserve"> now links beautifully to the old Derby Wing, the Barn, Folly </w:t>
      </w:r>
      <w:r w:rsidRPr="00617C40" w:rsidR="00D80A52">
        <w:rPr>
          <w:rFonts w:ascii="Arial" w:eastAsia="Calibri" w:hAnsi="Arial" w:cs="Times New Roman"/>
        </w:rPr>
        <w:t>Café, and retail</w:t>
      </w:r>
      <w:r w:rsidRPr="00617C40" w:rsidR="00911782">
        <w:rPr>
          <w:rFonts w:ascii="Arial" w:eastAsia="Calibri" w:hAnsi="Arial" w:cs="Times New Roman"/>
        </w:rPr>
        <w:t xml:space="preserve"> space. The construction of a new two-storey extension provides full accessibility to the first-floor facilities</w:t>
      </w:r>
      <w:r w:rsidR="009960BB">
        <w:rPr>
          <w:rFonts w:ascii="Arial" w:eastAsia="Calibri" w:hAnsi="Arial" w:cs="Times New Roman"/>
        </w:rPr>
        <w:t xml:space="preserve"> which will be available for private hire with bookings being taken from Spring 2023.</w:t>
      </w:r>
    </w:p>
    <w:p w:rsidR="0045484A" w:rsidRPr="00D80A52" w:rsidP="00D80A52" w14:paraId="738C06B5" w14:textId="77777777">
      <w:pPr>
        <w:spacing w:after="0" w:line="240" w:lineRule="auto"/>
        <w:rPr>
          <w:rFonts w:cstheme="minorHAnsi"/>
          <w:bCs/>
          <w:iCs/>
        </w:rPr>
      </w:pPr>
    </w:p>
    <w:p w:rsidR="0053274F" w:rsidRPr="00617C40" w:rsidP="00617C40" w14:paraId="132D215D" w14:textId="5CB9A3E7">
      <w:pPr>
        <w:pStyle w:val="ListParagraph"/>
        <w:numPr>
          <w:ilvl w:val="0"/>
          <w:numId w:val="1"/>
        </w:numPr>
        <w:spacing w:after="0" w:line="240" w:lineRule="auto"/>
        <w:ind w:left="567" w:hanging="567"/>
        <w:rPr>
          <w:rFonts w:ascii="Arial" w:eastAsia="Calibri" w:hAnsi="Arial" w:cs="Times New Roman"/>
        </w:rPr>
      </w:pPr>
      <w:r w:rsidRPr="00617C40">
        <w:rPr>
          <w:rFonts w:ascii="Arial" w:eastAsia="Calibri" w:hAnsi="Arial" w:cs="Times New Roman"/>
        </w:rPr>
        <w:t>Progress has been made this quarter towards the project to</w:t>
      </w:r>
      <w:r w:rsidRPr="00617C40" w:rsidR="00555DC0">
        <w:rPr>
          <w:rFonts w:ascii="Arial" w:eastAsia="Calibri" w:hAnsi="Arial" w:cs="Times New Roman"/>
        </w:rPr>
        <w:t xml:space="preserve"> </w:t>
      </w:r>
      <w:r w:rsidRPr="00617C40" w:rsidR="00C47565">
        <w:rPr>
          <w:rFonts w:ascii="Arial" w:eastAsia="Calibri" w:hAnsi="Arial" w:cs="Times New Roman"/>
        </w:rPr>
        <w:t>improv</w:t>
      </w:r>
      <w:r w:rsidRPr="00617C40" w:rsidR="001B0533">
        <w:rPr>
          <w:rFonts w:ascii="Arial" w:eastAsia="Calibri" w:hAnsi="Arial" w:cs="Times New Roman"/>
        </w:rPr>
        <w:t>e</w:t>
      </w:r>
      <w:r w:rsidRPr="00617C40" w:rsidR="0045484A">
        <w:rPr>
          <w:rFonts w:ascii="Arial" w:eastAsia="Calibri" w:hAnsi="Arial" w:cs="Times New Roman"/>
        </w:rPr>
        <w:t xml:space="preserve"> </w:t>
      </w:r>
      <w:r w:rsidRPr="00617C40" w:rsidR="00C47565">
        <w:rPr>
          <w:rFonts w:ascii="Arial" w:eastAsia="Calibri" w:hAnsi="Arial" w:cs="Times New Roman"/>
        </w:rPr>
        <w:t xml:space="preserve">the </w:t>
      </w:r>
      <w:r w:rsidRPr="00617C40" w:rsidR="0045484A">
        <w:rPr>
          <w:rFonts w:ascii="Arial" w:eastAsia="Calibri" w:hAnsi="Arial" w:cs="Times New Roman"/>
        </w:rPr>
        <w:t>leisure facilities in South Ribbl</w:t>
      </w:r>
      <w:r w:rsidR="009960BB">
        <w:rPr>
          <w:rFonts w:ascii="Arial" w:eastAsia="Calibri" w:hAnsi="Arial" w:cs="Times New Roman"/>
        </w:rPr>
        <w:t>e. A</w:t>
      </w:r>
      <w:r w:rsidRPr="00617C40">
        <w:rPr>
          <w:rFonts w:ascii="Arial" w:eastAsia="Calibri" w:hAnsi="Arial" w:cs="Times New Roman"/>
        </w:rPr>
        <w:t xml:space="preserve"> decision </w:t>
      </w:r>
      <w:r w:rsidR="009960BB">
        <w:rPr>
          <w:rFonts w:ascii="Arial" w:eastAsia="Calibri" w:hAnsi="Arial" w:cs="Times New Roman"/>
        </w:rPr>
        <w:t xml:space="preserve">was </w:t>
      </w:r>
      <w:r w:rsidRPr="00617C40">
        <w:rPr>
          <w:rFonts w:ascii="Arial" w:eastAsia="Calibri" w:hAnsi="Arial" w:cs="Times New Roman"/>
        </w:rPr>
        <w:t xml:space="preserve">made at Full Council to </w:t>
      </w:r>
      <w:r w:rsidRPr="00617C40" w:rsidR="00053232">
        <w:rPr>
          <w:rFonts w:ascii="Arial" w:eastAsia="Calibri" w:hAnsi="Arial" w:cs="Times New Roman"/>
        </w:rPr>
        <w:t>pursue an alternative procurement strategy in relation to the decarbonisation works and alig</w:t>
      </w:r>
      <w:r w:rsidR="00617C40">
        <w:rPr>
          <w:rFonts w:ascii="Arial" w:eastAsia="Calibri" w:hAnsi="Arial" w:cs="Times New Roman"/>
        </w:rPr>
        <w:t>n it</w:t>
      </w:r>
      <w:r w:rsidRPr="00617C40" w:rsidR="0026607B">
        <w:rPr>
          <w:rFonts w:ascii="Arial" w:eastAsia="Calibri" w:hAnsi="Arial" w:cs="Times New Roman"/>
        </w:rPr>
        <w:t xml:space="preserve"> to</w:t>
      </w:r>
      <w:r w:rsidRPr="00617C40" w:rsidR="00053232">
        <w:rPr>
          <w:rFonts w:ascii="Arial" w:eastAsia="Calibri" w:hAnsi="Arial" w:cs="Times New Roman"/>
        </w:rPr>
        <w:t xml:space="preserve"> the wider </w:t>
      </w:r>
      <w:r w:rsidRPr="00617C40" w:rsidR="0026607B">
        <w:rPr>
          <w:rFonts w:ascii="Arial" w:eastAsia="Calibri" w:hAnsi="Arial" w:cs="Times New Roman"/>
        </w:rPr>
        <w:t xml:space="preserve">programme of </w:t>
      </w:r>
      <w:r w:rsidRPr="00617C40" w:rsidR="00053232">
        <w:rPr>
          <w:rFonts w:ascii="Arial" w:eastAsia="Calibri" w:hAnsi="Arial" w:cs="Times New Roman"/>
        </w:rPr>
        <w:t xml:space="preserve">improvement to be delivered at Bamber Bridge, Leyland, Penwortham leisure centres and the South Ribble Tennis </w:t>
      </w:r>
      <w:r w:rsidRPr="00617C40" w:rsidR="006F3A8C">
        <w:rPr>
          <w:rFonts w:ascii="Arial" w:eastAsia="Calibri" w:hAnsi="Arial" w:cs="Times New Roman"/>
        </w:rPr>
        <w:t xml:space="preserve">Centre. The decision </w:t>
      </w:r>
      <w:r w:rsidRPr="00617C40" w:rsidR="0026607B">
        <w:rPr>
          <w:rFonts w:ascii="Arial" w:eastAsia="Calibri" w:hAnsi="Arial" w:cs="Times New Roman"/>
        </w:rPr>
        <w:t>will</w:t>
      </w:r>
      <w:r w:rsidRPr="00617C40" w:rsidR="006F3A8C">
        <w:rPr>
          <w:rFonts w:ascii="Arial" w:eastAsia="Calibri" w:hAnsi="Arial" w:cs="Times New Roman"/>
        </w:rPr>
        <w:t xml:space="preserve"> allow</w:t>
      </w:r>
      <w:r w:rsidRPr="00617C40" w:rsidR="00011255">
        <w:rPr>
          <w:rFonts w:ascii="Arial" w:eastAsia="Calibri" w:hAnsi="Arial" w:cs="Times New Roman"/>
        </w:rPr>
        <w:t xml:space="preserve"> the council to take forward a tender process to appoint a main contractor for the decarbonisation works </w:t>
      </w:r>
      <w:r w:rsidRPr="00617C40" w:rsidR="001B0533">
        <w:rPr>
          <w:rFonts w:ascii="Arial" w:eastAsia="Calibri" w:hAnsi="Arial" w:cs="Times New Roman"/>
        </w:rPr>
        <w:t>and commence the development</w:t>
      </w:r>
      <w:r w:rsidRPr="00617C40" w:rsidR="00011255">
        <w:rPr>
          <w:rFonts w:ascii="Arial" w:eastAsia="Calibri" w:hAnsi="Arial" w:cs="Times New Roman"/>
        </w:rPr>
        <w:t xml:space="preserve"> of tender packs </w:t>
      </w:r>
      <w:r w:rsidRPr="00617C40" w:rsidR="001B0533">
        <w:rPr>
          <w:rFonts w:ascii="Arial" w:eastAsia="Calibri" w:hAnsi="Arial" w:cs="Times New Roman"/>
        </w:rPr>
        <w:t xml:space="preserve">to appoint a project manager and quantity surveyor to deliver the identified improvement measures to the leisure facilities. </w:t>
      </w:r>
      <w:r w:rsidR="00617C40">
        <w:rPr>
          <w:rFonts w:ascii="Arial" w:eastAsia="Calibri" w:hAnsi="Arial" w:cs="Times New Roman"/>
        </w:rPr>
        <w:t>D</w:t>
      </w:r>
      <w:r w:rsidRPr="00617C40" w:rsidR="0026607B">
        <w:rPr>
          <w:rFonts w:ascii="Arial" w:eastAsia="Calibri" w:hAnsi="Arial" w:cs="Times New Roman"/>
        </w:rPr>
        <w:t>esign development and a high-level programme of works for each site will be established over quarter three.</w:t>
      </w:r>
    </w:p>
    <w:p w:rsidR="0053274F" w:rsidRPr="00980388" w:rsidP="00980388" w14:paraId="45659BB1" w14:textId="77777777">
      <w:pPr>
        <w:spacing w:after="0" w:line="240" w:lineRule="auto"/>
        <w:rPr>
          <w:rFonts w:cstheme="minorHAnsi"/>
          <w:bCs/>
          <w:iCs/>
        </w:rPr>
      </w:pPr>
    </w:p>
    <w:p w:rsidR="0045484A" w:rsidRPr="00980388" w:rsidP="00980388" w14:paraId="6A9E184F" w14:textId="2D221AF2">
      <w:pPr>
        <w:pStyle w:val="ListParagraph"/>
        <w:numPr>
          <w:ilvl w:val="0"/>
          <w:numId w:val="1"/>
        </w:numPr>
        <w:spacing w:after="0" w:line="240" w:lineRule="auto"/>
        <w:ind w:left="567" w:hanging="567"/>
        <w:rPr>
          <w:rFonts w:cstheme="minorHAnsi"/>
          <w:bCs/>
          <w:iCs/>
        </w:rPr>
      </w:pPr>
      <w:r w:rsidRPr="00980388">
        <w:rPr>
          <w:rFonts w:ascii="Arial" w:eastAsia="Calibri" w:hAnsi="Arial" w:cs="Times New Roman"/>
        </w:rPr>
        <w:t xml:space="preserve">Work has continued towards the council commitment to delivering accessible, high quality affordable homes. </w:t>
      </w:r>
      <w:r w:rsidRPr="00980388" w:rsidR="00512B02">
        <w:rPr>
          <w:rFonts w:ascii="Arial" w:eastAsia="Calibri" w:hAnsi="Arial" w:cs="Times New Roman"/>
        </w:rPr>
        <w:t xml:space="preserve">At the McKenzie Arms site, work completed this quarter includes </w:t>
      </w:r>
      <w:r w:rsidRPr="00980388" w:rsidR="00BA629D">
        <w:rPr>
          <w:rFonts w:ascii="Arial" w:eastAsia="Calibri" w:hAnsi="Arial" w:cs="Times New Roman"/>
        </w:rPr>
        <w:t>brickwork, internal lining and glazing to the Townhouses. In quarter three, further construction work will be delivered towards the new expected practical completion date of February 2023. These works include</w:t>
      </w:r>
      <w:r w:rsidRPr="00980388" w:rsidR="00E952A6">
        <w:rPr>
          <w:rFonts w:ascii="Arial" w:eastAsia="Calibri" w:hAnsi="Arial" w:cs="Times New Roman"/>
        </w:rPr>
        <w:t xml:space="preserve"> the completion of the masonry, internal joinery, insulation, and plastering works. Additionally, internal decoration and external landscaping works will </w:t>
      </w:r>
      <w:r w:rsidRPr="00980388" w:rsidR="00617C40">
        <w:rPr>
          <w:rFonts w:ascii="Arial" w:eastAsia="Calibri" w:hAnsi="Arial" w:cs="Times New Roman"/>
        </w:rPr>
        <w:t>begin</w:t>
      </w:r>
      <w:r w:rsidRPr="00980388" w:rsidR="00E952A6">
        <w:rPr>
          <w:rFonts w:ascii="Arial" w:eastAsia="Calibri" w:hAnsi="Arial" w:cs="Times New Roman"/>
        </w:rPr>
        <w:t xml:space="preserve">. </w:t>
      </w:r>
      <w:r w:rsidRPr="00980388" w:rsidR="00BA629D">
        <w:rPr>
          <w:rFonts w:ascii="Arial" w:eastAsia="Calibri" w:hAnsi="Arial" w:cs="Times New Roman"/>
        </w:rPr>
        <w:t xml:space="preserve">At the Jubilee Gardens Extra Care site, work completed this quarter includes the </w:t>
      </w:r>
      <w:r w:rsidRPr="00980388" w:rsidR="00E952A6">
        <w:rPr>
          <w:rFonts w:ascii="Arial" w:eastAsia="Calibri" w:hAnsi="Arial" w:cs="Times New Roman"/>
        </w:rPr>
        <w:t>advancement</w:t>
      </w:r>
      <w:r w:rsidRPr="00980388" w:rsidR="00BA629D">
        <w:rPr>
          <w:rFonts w:ascii="Arial" w:eastAsia="Calibri" w:hAnsi="Arial" w:cs="Times New Roman"/>
        </w:rPr>
        <w:t xml:space="preserve"> of Stage 4 designs and the approval of the planning application</w:t>
      </w:r>
      <w:r w:rsidRPr="00980388" w:rsidR="00617C40">
        <w:rPr>
          <w:rFonts w:ascii="Arial" w:eastAsia="Calibri" w:hAnsi="Arial" w:cs="Times New Roman"/>
        </w:rPr>
        <w:t>s</w:t>
      </w:r>
      <w:r w:rsidRPr="00980388" w:rsidR="00BA629D">
        <w:rPr>
          <w:rFonts w:ascii="Arial" w:eastAsia="Calibri" w:hAnsi="Arial" w:cs="Times New Roman"/>
        </w:rPr>
        <w:t xml:space="preserve">. A funding application </w:t>
      </w:r>
      <w:r w:rsidRPr="00980388" w:rsidR="00617C40">
        <w:rPr>
          <w:rFonts w:ascii="Arial" w:eastAsia="Calibri" w:hAnsi="Arial" w:cs="Times New Roman"/>
        </w:rPr>
        <w:t xml:space="preserve">to Homes England </w:t>
      </w:r>
      <w:r w:rsidRPr="00980388" w:rsidR="00BA629D">
        <w:rPr>
          <w:rFonts w:ascii="Arial" w:eastAsia="Calibri" w:hAnsi="Arial" w:cs="Times New Roman"/>
        </w:rPr>
        <w:t xml:space="preserve">has been revised and </w:t>
      </w:r>
      <w:r w:rsidRPr="00980388" w:rsidR="007054E4">
        <w:rPr>
          <w:rFonts w:ascii="Arial" w:eastAsia="Calibri" w:hAnsi="Arial" w:cs="Times New Roman"/>
        </w:rPr>
        <w:t xml:space="preserve">is to be submitted </w:t>
      </w:r>
      <w:r w:rsidRPr="00980388" w:rsidR="00617C40">
        <w:rPr>
          <w:rFonts w:ascii="Arial" w:eastAsia="Calibri" w:hAnsi="Arial" w:cs="Times New Roman"/>
        </w:rPr>
        <w:t>next quarter</w:t>
      </w:r>
      <w:r w:rsidRPr="00980388" w:rsidR="00E952A6">
        <w:rPr>
          <w:rFonts w:ascii="Arial" w:eastAsia="Calibri" w:hAnsi="Arial" w:cs="Times New Roman"/>
        </w:rPr>
        <w:t xml:space="preserve">. It is expected that works on-site </w:t>
      </w:r>
      <w:r w:rsidRPr="00980388" w:rsidR="00617C40">
        <w:rPr>
          <w:rFonts w:ascii="Arial" w:eastAsia="Calibri" w:hAnsi="Arial" w:cs="Times New Roman"/>
        </w:rPr>
        <w:t xml:space="preserve">for the Jubilee Gardens Extra Care scheme </w:t>
      </w:r>
      <w:r w:rsidRPr="00980388" w:rsidR="00E952A6">
        <w:rPr>
          <w:rFonts w:ascii="Arial" w:eastAsia="Calibri" w:hAnsi="Arial" w:cs="Times New Roman"/>
        </w:rPr>
        <w:t>will commence</w:t>
      </w:r>
      <w:r w:rsidRPr="00980388" w:rsidR="00BA629D">
        <w:rPr>
          <w:rFonts w:ascii="Arial" w:eastAsia="Calibri" w:hAnsi="Arial" w:cs="Times New Roman"/>
        </w:rPr>
        <w:t xml:space="preserve"> in January 2023</w:t>
      </w:r>
      <w:r w:rsidRPr="00980388" w:rsidR="00E952A6">
        <w:rPr>
          <w:rFonts w:cstheme="minorHAnsi"/>
          <w:bCs/>
          <w:iCs/>
        </w:rPr>
        <w:t>.</w:t>
      </w:r>
    </w:p>
    <w:p w:rsidR="008D4B24" w:rsidRPr="00617C40" w:rsidP="00617C40" w14:paraId="7C7DEF58" w14:textId="0653F95C">
      <w:pPr>
        <w:pStyle w:val="ListParagraph"/>
        <w:spacing w:after="0" w:line="240" w:lineRule="auto"/>
        <w:ind w:left="567"/>
        <w:rPr>
          <w:rFonts w:ascii="Arial" w:eastAsia="Calibri" w:hAnsi="Arial" w:cs="Times New Roman"/>
        </w:rPr>
      </w:pPr>
    </w:p>
    <w:p w:rsidR="004526FE" w:rsidRPr="00617C40" w:rsidP="00617C40" w14:paraId="1BE21137" w14:textId="6231F971">
      <w:pPr>
        <w:pStyle w:val="ListParagraph"/>
        <w:numPr>
          <w:ilvl w:val="0"/>
          <w:numId w:val="1"/>
        </w:numPr>
        <w:spacing w:after="0" w:line="240" w:lineRule="auto"/>
        <w:ind w:left="567" w:hanging="567"/>
        <w:rPr>
          <w:rFonts w:ascii="Arial" w:eastAsia="Calibri" w:hAnsi="Arial" w:cs="Times New Roman"/>
        </w:rPr>
      </w:pPr>
      <w:r w:rsidRPr="00617C40">
        <w:rPr>
          <w:rFonts w:ascii="Arial" w:eastAsia="Calibri" w:hAnsi="Arial" w:cs="Times New Roman"/>
        </w:rPr>
        <w:t>As part of the ongoing commitment to the environment and to help tackle climate change, a number of sites have been identified for tree planting across the borough. Examples of sites include New Longton Woodland, Cockshot Wood, Townsway Orchard and Locksto</w:t>
      </w:r>
      <w:r w:rsidRPr="00617C40">
        <w:rPr>
          <w:rFonts w:ascii="Arial" w:eastAsia="Calibri" w:hAnsi="Arial" w:cs="Times New Roman"/>
        </w:rPr>
        <w:t xml:space="preserve">ck Hall Academy. Orders have been placed for the supply of the trees, with planting to commence in November 2022. </w:t>
      </w:r>
      <w:r w:rsidR="0023634A">
        <w:rPr>
          <w:rFonts w:ascii="Arial" w:eastAsia="Calibri" w:hAnsi="Arial" w:cs="Times New Roman"/>
        </w:rPr>
        <w:t>Additionally, t</w:t>
      </w:r>
      <w:r w:rsidRPr="00617C40">
        <w:rPr>
          <w:rFonts w:ascii="Arial" w:eastAsia="Calibri" w:hAnsi="Arial" w:cs="Times New Roman"/>
        </w:rPr>
        <w:t>he council</w:t>
      </w:r>
      <w:r w:rsidR="009960BB">
        <w:rPr>
          <w:rFonts w:ascii="Arial" w:eastAsia="Calibri" w:hAnsi="Arial" w:cs="Times New Roman"/>
        </w:rPr>
        <w:t>’</w:t>
      </w:r>
      <w:r w:rsidRPr="00617C40" w:rsidR="002D7EBA">
        <w:rPr>
          <w:rFonts w:ascii="Arial" w:eastAsia="Calibri" w:hAnsi="Arial" w:cs="Times New Roman"/>
        </w:rPr>
        <w:t>s</w:t>
      </w:r>
      <w:r w:rsidRPr="00617C40">
        <w:rPr>
          <w:rFonts w:ascii="Arial" w:eastAsia="Calibri" w:hAnsi="Arial" w:cs="Times New Roman"/>
        </w:rPr>
        <w:t xml:space="preserve"> </w:t>
      </w:r>
      <w:r w:rsidRPr="00617C40" w:rsidR="002D7EBA">
        <w:rPr>
          <w:rFonts w:ascii="Arial" w:eastAsia="Calibri" w:hAnsi="Arial" w:cs="Times New Roman"/>
        </w:rPr>
        <w:t>B</w:t>
      </w:r>
      <w:r w:rsidRPr="00617C40">
        <w:rPr>
          <w:rFonts w:ascii="Arial" w:eastAsia="Calibri" w:hAnsi="Arial" w:cs="Times New Roman"/>
        </w:rPr>
        <w:t xml:space="preserve">iodiversity </w:t>
      </w:r>
      <w:r w:rsidRPr="00617C40" w:rsidR="002D7EBA">
        <w:rPr>
          <w:rFonts w:ascii="Arial" w:eastAsia="Calibri" w:hAnsi="Arial" w:cs="Times New Roman"/>
        </w:rPr>
        <w:t>S</w:t>
      </w:r>
      <w:r w:rsidRPr="00617C40">
        <w:rPr>
          <w:rFonts w:ascii="Arial" w:eastAsia="Calibri" w:hAnsi="Arial" w:cs="Times New Roman"/>
        </w:rPr>
        <w:t xml:space="preserve">trategy </w:t>
      </w:r>
      <w:r w:rsidR="0023634A">
        <w:rPr>
          <w:rFonts w:ascii="Arial" w:eastAsia="Calibri" w:hAnsi="Arial" w:cs="Times New Roman"/>
        </w:rPr>
        <w:t>has been</w:t>
      </w:r>
      <w:r w:rsidRPr="00617C40">
        <w:rPr>
          <w:rFonts w:ascii="Arial" w:eastAsia="Calibri" w:hAnsi="Arial" w:cs="Times New Roman"/>
        </w:rPr>
        <w:t xml:space="preserve"> adopted at Council in July</w:t>
      </w:r>
      <w:r w:rsidRPr="00617C40" w:rsidR="002D7EBA">
        <w:rPr>
          <w:rFonts w:ascii="Arial" w:eastAsia="Calibri" w:hAnsi="Arial" w:cs="Times New Roman"/>
        </w:rPr>
        <w:t xml:space="preserve"> 2022</w:t>
      </w:r>
      <w:r w:rsidRPr="00617C40">
        <w:rPr>
          <w:rFonts w:ascii="Arial" w:eastAsia="Calibri" w:hAnsi="Arial" w:cs="Times New Roman"/>
        </w:rPr>
        <w:t xml:space="preserve">, </w:t>
      </w:r>
      <w:r w:rsidRPr="00617C40" w:rsidR="002D7EBA">
        <w:rPr>
          <w:rFonts w:ascii="Arial" w:eastAsia="Calibri" w:hAnsi="Arial" w:cs="Times New Roman"/>
        </w:rPr>
        <w:t xml:space="preserve">and </w:t>
      </w:r>
      <w:r w:rsidRPr="00617C40">
        <w:rPr>
          <w:rFonts w:ascii="Arial" w:eastAsia="Calibri" w:hAnsi="Arial" w:cs="Times New Roman"/>
        </w:rPr>
        <w:t xml:space="preserve">set out ways to promote, conserve and enhance biodiversity across the </w:t>
      </w:r>
      <w:r w:rsidRPr="00617C40" w:rsidR="002D7EBA">
        <w:rPr>
          <w:rFonts w:ascii="Arial" w:eastAsia="Calibri" w:hAnsi="Arial" w:cs="Times New Roman"/>
        </w:rPr>
        <w:t>bor</w:t>
      </w:r>
      <w:r w:rsidRPr="00617C40">
        <w:rPr>
          <w:rFonts w:ascii="Arial" w:eastAsia="Calibri" w:hAnsi="Arial" w:cs="Times New Roman"/>
        </w:rPr>
        <w:t>ough.</w:t>
      </w:r>
      <w:r w:rsidR="0023634A">
        <w:rPr>
          <w:rFonts w:ascii="Arial" w:eastAsia="Calibri" w:hAnsi="Arial" w:cs="Times New Roman"/>
        </w:rPr>
        <w:t xml:space="preserve"> </w:t>
      </w:r>
      <w:r w:rsidRPr="00617C40">
        <w:rPr>
          <w:rFonts w:ascii="Arial" w:eastAsia="Calibri" w:hAnsi="Arial" w:cs="Times New Roman"/>
        </w:rPr>
        <w:t>A biodiversity action plan is to be presented at Council in July 2023</w:t>
      </w:r>
      <w:r w:rsidRPr="00617C40" w:rsidR="002D7EBA">
        <w:rPr>
          <w:rFonts w:ascii="Arial" w:eastAsia="Calibri" w:hAnsi="Arial" w:cs="Times New Roman"/>
        </w:rPr>
        <w:t xml:space="preserve">, with a formal consultation on the action plan to commence in quarter three. </w:t>
      </w:r>
      <w:r w:rsidRPr="00617C40">
        <w:rPr>
          <w:rFonts w:ascii="Arial" w:eastAsia="Calibri" w:hAnsi="Arial" w:cs="Times New Roman"/>
        </w:rPr>
        <w:t>The biodiversity action plan w</w:t>
      </w:r>
      <w:r w:rsidRPr="00617C40">
        <w:rPr>
          <w:rFonts w:ascii="Arial" w:eastAsia="Calibri" w:hAnsi="Arial" w:cs="Times New Roman"/>
        </w:rPr>
        <w:t>ill ensure progress is made towards the aims and objectives of the</w:t>
      </w:r>
      <w:r w:rsidRPr="00617C40" w:rsidR="002D7EBA">
        <w:rPr>
          <w:rFonts w:ascii="Arial" w:eastAsia="Calibri" w:hAnsi="Arial" w:cs="Times New Roman"/>
        </w:rPr>
        <w:t xml:space="preserve"> Biodiversity</w:t>
      </w:r>
      <w:r w:rsidRPr="00617C40">
        <w:rPr>
          <w:rFonts w:ascii="Arial" w:eastAsia="Calibri" w:hAnsi="Arial" w:cs="Times New Roman"/>
        </w:rPr>
        <w:t xml:space="preserve"> </w:t>
      </w:r>
      <w:r w:rsidRPr="00617C40" w:rsidR="002D7EBA">
        <w:rPr>
          <w:rFonts w:ascii="Arial" w:eastAsia="Calibri" w:hAnsi="Arial" w:cs="Times New Roman"/>
        </w:rPr>
        <w:t>S</w:t>
      </w:r>
      <w:r w:rsidRPr="00617C40">
        <w:rPr>
          <w:rFonts w:ascii="Arial" w:eastAsia="Calibri" w:hAnsi="Arial" w:cs="Times New Roman"/>
        </w:rPr>
        <w:t xml:space="preserve">trategy. </w:t>
      </w:r>
    </w:p>
    <w:p w:rsidR="00064803" w:rsidP="004526FE" w14:paraId="307DC98C" w14:textId="4ABB35C2">
      <w:pPr>
        <w:pStyle w:val="Default"/>
        <w:ind w:left="360"/>
        <w:rPr>
          <w:sz w:val="22"/>
          <w:szCs w:val="22"/>
        </w:rPr>
      </w:pPr>
    </w:p>
    <w:p w:rsidR="00041C94" w:rsidRPr="00C400C3" w:rsidP="00041C94" w14:paraId="4029DBE7" w14:textId="5D9AE717">
      <w:pPr>
        <w:spacing w:after="0" w:line="240" w:lineRule="auto"/>
        <w:rPr>
          <w:rFonts w:eastAsia="Times New Roman" w:cstheme="minorHAnsi"/>
          <w:b/>
          <w:bCs/>
          <w:lang w:eastAsia="en-GB"/>
        </w:rPr>
      </w:pPr>
      <w:r w:rsidRPr="00C400C3">
        <w:rPr>
          <w:rFonts w:eastAsia="Times New Roman" w:cstheme="minorHAnsi"/>
          <w:b/>
          <w:bCs/>
          <w:lang w:eastAsia="en-GB"/>
        </w:rPr>
        <w:t xml:space="preserve">Performance of key projects </w:t>
      </w:r>
    </w:p>
    <w:p w:rsidR="00041C94" w:rsidRPr="000B2C94" w:rsidP="00041C94" w14:paraId="20E5F5E6" w14:textId="77777777">
      <w:pPr>
        <w:pStyle w:val="ListParagraph"/>
        <w:spacing w:after="0" w:line="240" w:lineRule="auto"/>
        <w:ind w:left="360"/>
        <w:rPr>
          <w:rFonts w:eastAsia="Times New Roman" w:cstheme="minorHAnsi"/>
          <w:b/>
          <w:bCs/>
          <w:lang w:eastAsia="en-GB"/>
        </w:rPr>
      </w:pPr>
    </w:p>
    <w:p w:rsidR="00041C94" w:rsidRPr="00C400C3" w:rsidP="00041C94" w14:paraId="31174F3F" w14:textId="77777777">
      <w:pPr>
        <w:pStyle w:val="ListParagraph"/>
        <w:spacing w:after="0" w:line="240" w:lineRule="auto"/>
        <w:ind w:left="360"/>
        <w:rPr>
          <w:rFonts w:eastAsia="Times New Roman" w:cstheme="minorHAnsi"/>
          <w:b/>
          <w:bCs/>
          <w:lang w:eastAsia="en-GB"/>
        </w:rPr>
      </w:pPr>
      <w:r>
        <w:rPr>
          <w:noProof/>
          <w:lang w:eastAsia="en-GB"/>
        </w:rPr>
        <mc:AlternateContent>
          <mc:Choice Requires="wpg">
            <w:drawing>
              <wp:inline distT="0" distB="0" distL="0" distR="0">
                <wp:extent cx="6035962" cy="1088761"/>
                <wp:effectExtent l="0" t="0" r="0" b="0"/>
                <wp:docPr id="300" name="Group 300"/>
                <wp:cNvGraphicFramePr/>
                <a:graphic xmlns:a="http://schemas.openxmlformats.org/drawingml/2006/main">
                  <a:graphicData uri="http://schemas.microsoft.com/office/word/2010/wordprocessingGroup">
                    <wpg:wgp xmlns:wpg="http://schemas.microsoft.com/office/word/2010/wordprocessingGroup">
                      <wpg:cNvGrpSpPr/>
                      <wpg:grpSpPr>
                        <a:xfrm>
                          <a:off x="0" y="0"/>
                          <a:ext cx="6035962" cy="1088761"/>
                          <a:chOff x="0" y="0"/>
                          <a:chExt cx="6035962" cy="1088761"/>
                        </a:xfrm>
                      </wpg:grpSpPr>
                      <wpg:grpSp>
                        <wpg:cNvPr id="301" name="Group 301"/>
                        <wpg:cNvGrpSpPr/>
                        <wpg:grpSpPr>
                          <a:xfrm>
                            <a:off x="0" y="0"/>
                            <a:ext cx="1265555" cy="1088761"/>
                            <a:chOff x="0" y="0"/>
                            <a:chExt cx="1265555" cy="1088761"/>
                          </a:xfrm>
                        </wpg:grpSpPr>
                        <wps:wsp xmlns:wps="http://schemas.microsoft.com/office/word/2010/wordprocessingShape">
                          <wps:cNvPr id="302" name="Oval 107"/>
                          <wps:cNvSpPr>
                            <a:spLocks noChangeArrowheads="1"/>
                          </wps:cNvSpPr>
                          <wps:spPr bwMode="auto">
                            <a:xfrm>
                              <a:off x="94890" y="8626"/>
                              <a:ext cx="1080135" cy="1080135"/>
                            </a:xfrm>
                            <a:prstGeom prst="ellipse">
                              <a:avLst/>
                            </a:prstGeom>
                            <a:solidFill>
                              <a:srgbClr val="4F81B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03" name="Group 303"/>
                          <wpg:cNvGrpSpPr/>
                          <wpg:grpSpPr>
                            <a:xfrm>
                              <a:off x="0" y="0"/>
                              <a:ext cx="1265555" cy="871220"/>
                              <a:chOff x="0" y="0"/>
                              <a:chExt cx="1265555" cy="871269"/>
                            </a:xfrm>
                          </wpg:grpSpPr>
                          <wps:wsp xmlns:wps="http://schemas.microsoft.com/office/word/2010/wordprocessingShape">
                            <wps:cNvPr id="304"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C042E8" w:rsidP="00041C94" w14:paraId="6677365D" w14:textId="77777777">
                                  <w:pPr>
                                    <w:jc w:val="center"/>
                                    <w:rPr>
                                      <w:b/>
                                      <w:bCs/>
                                      <w:color w:val="FFFFFF"/>
                                      <w:sz w:val="52"/>
                                      <w:szCs w:val="44"/>
                                      <w:lang w:val="en-US"/>
                                    </w:rPr>
                                  </w:pPr>
                                  <w:r w:rsidRPr="00C042E8">
                                    <w:rPr>
                                      <w:b/>
                                      <w:bCs/>
                                      <w:color w:val="FFFFFF"/>
                                      <w:sz w:val="52"/>
                                      <w:szCs w:val="44"/>
                                      <w:lang w:val="en-US"/>
                                    </w:rPr>
                                    <w:t>1</w:t>
                                  </w:r>
                                </w:p>
                              </w:txbxContent>
                            </wps:txbx>
                            <wps:bodyPr rot="0" vert="horz" wrap="square" anchor="t" anchorCtr="0" upright="1"/>
                          </wps:wsp>
                          <wps:wsp xmlns:wps="http://schemas.microsoft.com/office/word/2010/wordprocessingShape">
                            <wps:cNvPr id="305"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041C94" w14:paraId="076C0023"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wps:txbx>
                            <wps:bodyPr rot="0" vert="horz" wrap="square" anchor="t" anchorCtr="0" upright="1"/>
                          </wps:wsp>
                        </wpg:grpSp>
                      </wpg:grpSp>
                      <wpg:grpSp>
                        <wpg:cNvPr id="306" name="Group 306"/>
                        <wpg:cNvGrpSpPr/>
                        <wpg:grpSpPr>
                          <a:xfrm>
                            <a:off x="1595886" y="8626"/>
                            <a:ext cx="1265555" cy="1080135"/>
                            <a:chOff x="0" y="0"/>
                            <a:chExt cx="1265555" cy="1080135"/>
                          </a:xfrm>
                        </wpg:grpSpPr>
                        <wps:wsp xmlns:wps="http://schemas.microsoft.com/office/word/2010/wordprocessingShape">
                          <wps:cNvPr id="307" name="Oval 105"/>
                          <wps:cNvSpPr>
                            <a:spLocks noChangeArrowheads="1"/>
                          </wps:cNvSpPr>
                          <wps:spPr bwMode="auto">
                            <a:xfrm>
                              <a:off x="86265" y="0"/>
                              <a:ext cx="1080135" cy="1080135"/>
                            </a:xfrm>
                            <a:prstGeom prst="ellipse">
                              <a:avLst/>
                            </a:prstGeom>
                            <a:solidFill>
                              <a:srgbClr val="92D05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08" name="Group 308"/>
                          <wpg:cNvGrpSpPr/>
                          <wpg:grpSpPr>
                            <a:xfrm>
                              <a:off x="0" y="43132"/>
                              <a:ext cx="1265555" cy="871269"/>
                              <a:chOff x="0" y="0"/>
                              <a:chExt cx="1265555" cy="871269"/>
                            </a:xfrm>
                          </wpg:grpSpPr>
                          <wps:wsp xmlns:wps="http://schemas.microsoft.com/office/word/2010/wordprocessingShape">
                            <wps:cNvPr id="309"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041C94" w14:paraId="542B066C" w14:textId="77777777">
                                  <w:pPr>
                                    <w:jc w:val="center"/>
                                    <w:rPr>
                                      <w:b/>
                                      <w:bCs/>
                                      <w:color w:val="FFFFFF"/>
                                      <w:sz w:val="32"/>
                                      <w:szCs w:val="24"/>
                                      <w:lang w:val="en-US"/>
                                    </w:rPr>
                                  </w:pPr>
                                  <w:r>
                                    <w:rPr>
                                      <w:b/>
                                      <w:bCs/>
                                      <w:color w:val="FFFFFF"/>
                                      <w:sz w:val="52"/>
                                      <w:szCs w:val="44"/>
                                      <w:lang w:val="en-US"/>
                                    </w:rPr>
                                    <w:t>1</w:t>
                                  </w:r>
                                </w:p>
                              </w:txbxContent>
                            </wps:txbx>
                            <wps:bodyPr rot="0" vert="horz" wrap="square" anchor="t" anchorCtr="0" upright="1"/>
                          </wps:wsp>
                          <wps:wsp xmlns:wps="http://schemas.microsoft.com/office/word/2010/wordprocessingShape">
                            <wps:cNvPr id="310"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041C94" w14:paraId="43183125"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wps:txbx>
                            <wps:bodyPr rot="0" vert="horz" wrap="square" anchor="t" anchorCtr="0" upright="1"/>
                          </wps:wsp>
                        </wpg:grpSp>
                      </wpg:grpSp>
                      <wpg:grpSp>
                        <wpg:cNvPr id="311" name="Group 311"/>
                        <wpg:cNvGrpSpPr/>
                        <wpg:grpSpPr>
                          <a:xfrm>
                            <a:off x="3174520" y="8626"/>
                            <a:ext cx="1265555" cy="1080135"/>
                            <a:chOff x="0" y="0"/>
                            <a:chExt cx="1265555" cy="1080135"/>
                          </a:xfrm>
                        </wpg:grpSpPr>
                        <wps:wsp xmlns:wps="http://schemas.microsoft.com/office/word/2010/wordprocessingShape">
                          <wps:cNvPr id="312" name="Oval 101"/>
                          <wps:cNvSpPr>
                            <a:spLocks noChangeArrowheads="1"/>
                          </wps:cNvSpPr>
                          <wps:spPr bwMode="auto">
                            <a:xfrm>
                              <a:off x="103517" y="0"/>
                              <a:ext cx="1075055" cy="1080135"/>
                            </a:xfrm>
                            <a:prstGeom prst="ellipse">
                              <a:avLst/>
                            </a:prstGeom>
                            <a:solidFill>
                              <a:srgbClr val="EF8F2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13" name="Group 313"/>
                          <wpg:cNvGrpSpPr/>
                          <wpg:grpSpPr>
                            <a:xfrm>
                              <a:off x="0" y="8626"/>
                              <a:ext cx="1265555" cy="871269"/>
                              <a:chOff x="0" y="0"/>
                              <a:chExt cx="1265555" cy="871269"/>
                            </a:xfrm>
                          </wpg:grpSpPr>
                          <wps:wsp xmlns:wps="http://schemas.microsoft.com/office/word/2010/wordprocessingShape">
                            <wps:cNvPr id="314"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041C94" w14:paraId="2B8D5F15" w14:textId="77777777">
                                  <w:pPr>
                                    <w:jc w:val="center"/>
                                    <w:rPr>
                                      <w:b/>
                                      <w:bCs/>
                                      <w:color w:val="FFFFFF"/>
                                      <w:sz w:val="32"/>
                                      <w:szCs w:val="24"/>
                                      <w:lang w:val="en-US"/>
                                    </w:rPr>
                                  </w:pPr>
                                  <w:r>
                                    <w:rPr>
                                      <w:b/>
                                      <w:bCs/>
                                      <w:color w:val="FFFFFF"/>
                                      <w:sz w:val="52"/>
                                      <w:szCs w:val="44"/>
                                      <w:lang w:val="en-US"/>
                                    </w:rPr>
                                    <w:t>2</w:t>
                                  </w:r>
                                  <w:r w:rsidRPr="00AB23E3">
                                    <w:rPr>
                                      <w:b/>
                                      <w:bCs/>
                                      <w:color w:val="FFFFFF"/>
                                      <w:sz w:val="24"/>
                                      <w:szCs w:val="20"/>
                                      <w:lang w:val="en-US"/>
                                    </w:rPr>
                                    <w:t xml:space="preserve"> </w:t>
                                  </w:r>
                                </w:p>
                              </w:txbxContent>
                            </wps:txbx>
                            <wps:bodyPr rot="0" vert="horz" wrap="square" anchor="t" anchorCtr="0" upright="1"/>
                          </wps:wsp>
                          <wps:wsp xmlns:wps="http://schemas.microsoft.com/office/word/2010/wordprocessingShape">
                            <wps:cNvPr id="315"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041C94" w14:paraId="45359E68"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wps:txbx>
                            <wps:bodyPr rot="0" vert="horz" wrap="square" anchor="t" anchorCtr="0" upright="1"/>
                          </wps:wsp>
                        </wpg:grpSp>
                      </wpg:grpSp>
                      <wpg:grpSp>
                        <wpg:cNvPr id="316" name="Group 316"/>
                        <wpg:cNvGrpSpPr/>
                        <wpg:grpSpPr>
                          <a:xfrm>
                            <a:off x="4770407" y="8626"/>
                            <a:ext cx="1265555" cy="1080135"/>
                            <a:chOff x="0" y="0"/>
                            <a:chExt cx="1265555" cy="1080135"/>
                          </a:xfrm>
                        </wpg:grpSpPr>
                        <wps:wsp xmlns:wps="http://schemas.microsoft.com/office/word/2010/wordprocessingShape">
                          <wps:cNvPr id="317" name="Oval 102"/>
                          <wps:cNvSpPr>
                            <a:spLocks noChangeArrowheads="1"/>
                          </wps:cNvSpPr>
                          <wps:spPr bwMode="auto">
                            <a:xfrm>
                              <a:off x="86264" y="0"/>
                              <a:ext cx="1075055" cy="1080135"/>
                            </a:xfrm>
                            <a:prstGeom prst="ellipse">
                              <a:avLst/>
                            </a:prstGeom>
                            <a:solidFill>
                              <a:srgbClr val="C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g:cNvPr id="318" name="Group 318"/>
                          <wpg:cNvGrpSpPr/>
                          <wpg:grpSpPr>
                            <a:xfrm>
                              <a:off x="0" y="25879"/>
                              <a:ext cx="1265555" cy="871269"/>
                              <a:chOff x="0" y="0"/>
                              <a:chExt cx="1265555" cy="871269"/>
                            </a:xfrm>
                          </wpg:grpSpPr>
                          <wps:wsp xmlns:wps="http://schemas.microsoft.com/office/word/2010/wordprocessingShape">
                            <wps:cNvPr id="319" name="Text Box 108"/>
                            <wps:cNvSpPr txBox="1">
                              <a:spLocks noChangeArrowheads="1"/>
                            </wps:cNvSpPr>
                            <wps:spPr bwMode="auto">
                              <a:xfrm>
                                <a:off x="370936" y="0"/>
                                <a:ext cx="517525" cy="434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AB23E3" w:rsidP="00041C94" w14:paraId="5A8ABB38"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wps:txbx>
                            <wps:bodyPr rot="0" vert="horz" wrap="square" anchor="t" anchorCtr="0" upright="1"/>
                          </wps:wsp>
                          <wps:wsp xmlns:wps="http://schemas.microsoft.com/office/word/2010/wordprocessingShape">
                            <wps:cNvPr id="320" name="Text Box 106"/>
                            <wps:cNvSpPr txBox="1">
                              <a:spLocks noChangeArrowheads="1"/>
                            </wps:cNvSpPr>
                            <wps:spPr bwMode="auto">
                              <a:xfrm>
                                <a:off x="0" y="405442"/>
                                <a:ext cx="1265555" cy="465827"/>
                              </a:xfrm>
                              <a:prstGeom prst="rect">
                                <a:avLst/>
                              </a:prstGeom>
                              <a:noFill/>
                              <a:ln>
                                <a:noFill/>
                              </a:ln>
                              <a:extLst>
                                <a:ext xmlns:a="http://schemas.openxmlformats.org/drawingml/2006/main" uri="{909E8E84-426E-40DD-AFC4-6F175D3DCCD1}">
                                  <a14:hiddenFill xmlns:a14="http://schemas.microsoft.com/office/drawing/2010/main">
                                    <a:solidFill>
                                      <a:srgbClr val="9BBB59"/>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10C74" w:rsidRPr="00860986" w:rsidP="00041C94" w14:paraId="0D01201B"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wps:txbx>
                            <wps:bodyPr rot="0" vert="horz" wrap="square" anchor="t" anchorCtr="0" upright="1"/>
                          </wps:wsp>
                        </wpg:grpSp>
                      </wpg:grpSp>
                    </wpg:wgp>
                  </a:graphicData>
                </a:graphic>
              </wp:inline>
            </w:drawing>
          </mc:Choice>
          <mc:Fallback>
            <w:pict>
              <v:group id="Group 300" o:spid="_x0000_i1126" style="width:475.25pt;height:85.75pt;mso-position-horizontal-relative:char;mso-position-vertical-relative:line" coordsize="60359,10887">
                <v:group id="Group 301" o:spid="_x0000_s1127" style="width:12655;height:10887;position:absolute" coordsize="12655,10887">
                  <v:oval id="Oval 107" o:spid="_x0000_s1128" style="width:10802;height:10801;left:948;mso-wrap-style:square;position:absolute;top:86;visibility:visible;v-text-anchor:top" fillcolor="#4f81bd" stroked="f"/>
                  <v:group id="Group 303" o:spid="_x0000_s1129" style="width:12655;height:8712;position:absolute" coordsize="12655,8712">
                    <v:shape id="Text Box 108" o:spid="_x0000_s1130" type="#_x0000_t202" style="width:5175;height:4343;left:3709;mso-wrap-style:square;position:absolute;visibility:visible;v-text-anchor:top" filled="f" stroked="f">
                      <v:textbox>
                        <w:txbxContent>
                          <w:p w:rsidR="00B10C74" w:rsidRPr="00C042E8" w:rsidP="00041C94" w14:paraId="791BD8BA" w14:textId="77777777">
                            <w:pPr>
                              <w:jc w:val="center"/>
                              <w:rPr>
                                <w:b/>
                                <w:bCs/>
                                <w:color w:val="FFFFFF"/>
                                <w:sz w:val="52"/>
                                <w:szCs w:val="44"/>
                                <w:lang w:val="en-US"/>
                              </w:rPr>
                            </w:pPr>
                            <w:r w:rsidRPr="00C042E8">
                              <w:rPr>
                                <w:b/>
                                <w:bCs/>
                                <w:color w:val="FFFFFF"/>
                                <w:sz w:val="52"/>
                                <w:szCs w:val="44"/>
                                <w:lang w:val="en-US"/>
                              </w:rPr>
                              <w:t>1</w:t>
                            </w:r>
                          </w:p>
                        </w:txbxContent>
                      </v:textbox>
                    </v:shape>
                    <v:shape id="Text Box 106" o:spid="_x0000_s1131" type="#_x0000_t202" style="width:12655;height:4658;mso-wrap-style:square;position:absolute;top:4054;visibility:visible;v-text-anchor:top" filled="f" fillcolor="#9bbb59" stroked="f">
                      <v:textbox>
                        <w:txbxContent>
                          <w:p w:rsidR="00B10C74" w:rsidRPr="00860986" w:rsidP="00041C94" w14:paraId="7A767BE4"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COMPLETED</w:t>
                            </w:r>
                          </w:p>
                        </w:txbxContent>
                      </v:textbox>
                    </v:shape>
                  </v:group>
                </v:group>
                <v:group id="Group 306" o:spid="_x0000_s1132" style="width:12656;height:10801;left:15958;position:absolute;top:86" coordsize="12655,10801">
                  <v:oval id="Oval 105" o:spid="_x0000_s1133" style="width:10802;height:10801;left:862;mso-wrap-style:square;position:absolute;visibility:visible;v-text-anchor:top" fillcolor="#92d050" stroked="f"/>
                  <v:group id="Group 308" o:spid="_x0000_s1134" style="width:12655;height:8713;position:absolute;top:431" coordsize="12655,8712">
                    <v:shape id="Text Box 108" o:spid="_x0000_s1135" type="#_x0000_t202" style="width:5175;height:4343;left:3709;mso-wrap-style:square;position:absolute;visibility:visible;v-text-anchor:top" filled="f" stroked="f">
                      <v:textbox>
                        <w:txbxContent>
                          <w:p w:rsidR="00B10C74" w:rsidRPr="00AB23E3" w:rsidP="00041C94" w14:paraId="7BC3796C" w14:textId="77777777">
                            <w:pPr>
                              <w:jc w:val="center"/>
                              <w:rPr>
                                <w:b/>
                                <w:bCs/>
                                <w:color w:val="FFFFFF"/>
                                <w:sz w:val="32"/>
                                <w:szCs w:val="24"/>
                                <w:lang w:val="en-US"/>
                              </w:rPr>
                            </w:pPr>
                            <w:r>
                              <w:rPr>
                                <w:b/>
                                <w:bCs/>
                                <w:color w:val="FFFFFF"/>
                                <w:sz w:val="52"/>
                                <w:szCs w:val="44"/>
                                <w:lang w:val="en-US"/>
                              </w:rPr>
                              <w:t>1</w:t>
                            </w:r>
                          </w:p>
                        </w:txbxContent>
                      </v:textbox>
                    </v:shape>
                    <v:shape id="Text Box 106" o:spid="_x0000_s1136" type="#_x0000_t202" style="width:12655;height:4658;mso-wrap-style:square;position:absolute;top:4054;visibility:visible;v-text-anchor:top" filled="f" fillcolor="#9bbb59" stroked="f">
                      <v:textbox>
                        <w:txbxContent>
                          <w:p w:rsidR="00B10C74" w:rsidRPr="00860986" w:rsidP="00041C94" w14:paraId="2E4B31B0"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GREEN</w:t>
                            </w:r>
                          </w:p>
                        </w:txbxContent>
                      </v:textbox>
                    </v:shape>
                  </v:group>
                </v:group>
                <v:group id="Group 311" o:spid="_x0000_s1137" style="width:12655;height:10801;left:31745;position:absolute;top:86" coordsize="12655,10801">
                  <v:oval id="Oval 101" o:spid="_x0000_s1138" style="width:10750;height:10801;left:1035;mso-wrap-style:square;position:absolute;visibility:visible;v-text-anchor:top" fillcolor="#ef8f2f" stroked="f"/>
                  <v:group id="Group 313" o:spid="_x0000_s1139" style="width:12655;height:8712;position:absolute;top:86" coordsize="12655,8712">
                    <v:shape id="Text Box 108" o:spid="_x0000_s1140" type="#_x0000_t202" style="width:5175;height:4343;left:3709;mso-wrap-style:square;position:absolute;visibility:visible;v-text-anchor:top" filled="f" stroked="f">
                      <v:textbox>
                        <w:txbxContent>
                          <w:p w:rsidR="00B10C74" w:rsidRPr="00AB23E3" w:rsidP="00041C94" w14:paraId="79EF8212" w14:textId="77777777">
                            <w:pPr>
                              <w:jc w:val="center"/>
                              <w:rPr>
                                <w:b/>
                                <w:bCs/>
                                <w:color w:val="FFFFFF"/>
                                <w:sz w:val="32"/>
                                <w:szCs w:val="24"/>
                                <w:lang w:val="en-US"/>
                              </w:rPr>
                            </w:pPr>
                            <w:r>
                              <w:rPr>
                                <w:b/>
                                <w:bCs/>
                                <w:color w:val="FFFFFF"/>
                                <w:sz w:val="52"/>
                                <w:szCs w:val="44"/>
                                <w:lang w:val="en-US"/>
                              </w:rPr>
                              <w:t>2</w:t>
                            </w:r>
                            <w:r w:rsidRPr="00AB23E3">
                              <w:rPr>
                                <w:b/>
                                <w:bCs/>
                                <w:color w:val="FFFFFF"/>
                                <w:sz w:val="24"/>
                                <w:szCs w:val="20"/>
                                <w:lang w:val="en-US"/>
                              </w:rPr>
                              <w:t xml:space="preserve"> </w:t>
                            </w:r>
                          </w:p>
                        </w:txbxContent>
                      </v:textbox>
                    </v:shape>
                    <v:shape id="Text Box 106" o:spid="_x0000_s1141" type="#_x0000_t202" style="width:12655;height:4658;mso-wrap-style:square;position:absolute;top:4054;visibility:visible;v-text-anchor:top" filled="f" fillcolor="#9bbb59" stroked="f">
                      <v:textbox>
                        <w:txbxContent>
                          <w:p w:rsidR="00B10C74" w:rsidRPr="00860986" w:rsidP="00041C94" w14:paraId="7CF50EA9"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AMBER</w:t>
                            </w:r>
                          </w:p>
                        </w:txbxContent>
                      </v:textbox>
                    </v:shape>
                  </v:group>
                </v:group>
                <v:group id="Group 316" o:spid="_x0000_s1142" style="width:12655;height:10801;left:47704;position:absolute;top:86" coordsize="12655,10801">
                  <v:oval id="Oval 102" o:spid="_x0000_s1143" style="width:10751;height:10801;left:862;mso-wrap-style:square;position:absolute;visibility:visible;v-text-anchor:top" fillcolor="#c00000" stroked="f"/>
                  <v:group id="Group 318" o:spid="_x0000_s1144" style="width:12655;height:8713;position:absolute;top:258" coordsize="12655,8712">
                    <v:shape id="Text Box 108" o:spid="_x0000_s1145" type="#_x0000_t202" style="width:5175;height:4343;left:3709;mso-wrap-style:square;position:absolute;visibility:visible;v-text-anchor:top" filled="f" stroked="f">
                      <v:textbox>
                        <w:txbxContent>
                          <w:p w:rsidR="00B10C74" w:rsidRPr="00AB23E3" w:rsidP="00041C94" w14:paraId="3326D388" w14:textId="77777777">
                            <w:pPr>
                              <w:jc w:val="center"/>
                              <w:rPr>
                                <w:b/>
                                <w:bCs/>
                                <w:color w:val="FFFFFF"/>
                                <w:sz w:val="32"/>
                                <w:szCs w:val="24"/>
                                <w:lang w:val="en-US"/>
                              </w:rPr>
                            </w:pPr>
                            <w:r w:rsidRPr="00AB23E3">
                              <w:rPr>
                                <w:b/>
                                <w:bCs/>
                                <w:color w:val="FFFFFF"/>
                                <w:sz w:val="52"/>
                                <w:szCs w:val="44"/>
                                <w:lang w:val="en-US"/>
                              </w:rPr>
                              <w:t>0</w:t>
                            </w:r>
                            <w:r w:rsidRPr="00AB23E3">
                              <w:rPr>
                                <w:b/>
                                <w:bCs/>
                                <w:color w:val="FFFFFF"/>
                                <w:sz w:val="24"/>
                                <w:szCs w:val="20"/>
                                <w:lang w:val="en-US"/>
                              </w:rPr>
                              <w:t xml:space="preserve"> </w:t>
                            </w:r>
                          </w:p>
                        </w:txbxContent>
                      </v:textbox>
                    </v:shape>
                    <v:shape id="Text Box 106" o:spid="_x0000_s1146" type="#_x0000_t202" style="width:12655;height:4658;mso-wrap-style:square;position:absolute;top:4054;visibility:visible;v-text-anchor:top" filled="f" fillcolor="#9bbb59" stroked="f">
                      <v:textbox>
                        <w:txbxContent>
                          <w:p w:rsidR="00B10C74" w:rsidRPr="00860986" w:rsidP="00041C94" w14:paraId="28EBBA50" w14:textId="77777777">
                            <w:pPr>
                              <w:jc w:val="center"/>
                              <w:rPr>
                                <w:b/>
                                <w:bCs/>
                                <w:color w:val="FFFFFF"/>
                                <w:szCs w:val="18"/>
                                <w:lang w:val="en-US"/>
                              </w:rPr>
                            </w:pPr>
                            <w:r w:rsidRPr="00860986">
                              <w:rPr>
                                <w:b/>
                                <w:bCs/>
                                <w:color w:val="FFFFFF"/>
                                <w:sz w:val="20"/>
                                <w:szCs w:val="16"/>
                                <w:lang w:val="en-US"/>
                              </w:rPr>
                              <w:t xml:space="preserve">Projects rated </w:t>
                            </w:r>
                            <w:r>
                              <w:rPr>
                                <w:b/>
                                <w:bCs/>
                                <w:color w:val="FFFFFF"/>
                                <w:szCs w:val="18"/>
                                <w:lang w:val="en-US"/>
                              </w:rPr>
                              <w:t>RED</w:t>
                            </w:r>
                          </w:p>
                        </w:txbxContent>
                      </v:textbox>
                    </v:shape>
                  </v:group>
                </v:group>
                <w10:wrap type="none"/>
                <w10:anchorlock/>
              </v:group>
            </w:pict>
          </mc:Fallback>
        </mc:AlternateContent>
      </w:r>
    </w:p>
    <w:p w:rsidR="00041C94" w:rsidRPr="00671A57" w:rsidP="00041C94" w14:paraId="664803CB" w14:textId="77777777">
      <w:pPr>
        <w:spacing w:line="240" w:lineRule="auto"/>
      </w:pPr>
    </w:p>
    <w:p w:rsidR="00041C94" w:rsidRPr="00C042E8" w:rsidP="00887AE6" w14:paraId="73C66FC4" w14:textId="2502AE9B">
      <w:pPr>
        <w:pStyle w:val="ListParagraph"/>
        <w:numPr>
          <w:ilvl w:val="0"/>
          <w:numId w:val="1"/>
        </w:numPr>
        <w:spacing w:after="0" w:line="240" w:lineRule="auto"/>
        <w:ind w:left="567" w:hanging="567"/>
        <w:rPr>
          <w:rFonts w:eastAsia="Times New Roman" w:cstheme="minorHAnsi"/>
          <w:lang w:eastAsia="en-GB"/>
        </w:rPr>
      </w:pPr>
      <w:r w:rsidRPr="0089406F">
        <w:rPr>
          <w:rFonts w:cstheme="minorHAnsi"/>
          <w:bCs/>
          <w:iCs/>
        </w:rPr>
        <w:t xml:space="preserve">There are </w:t>
      </w:r>
      <w:r>
        <w:rPr>
          <w:rFonts w:cstheme="minorHAnsi"/>
          <w:bCs/>
          <w:iCs/>
        </w:rPr>
        <w:t>four</w:t>
      </w:r>
      <w:r w:rsidRPr="0089406F">
        <w:rPr>
          <w:rFonts w:cstheme="minorHAnsi"/>
          <w:bCs/>
          <w:iCs/>
        </w:rPr>
        <w:t xml:space="preserve"> key projects included in the 202</w:t>
      </w:r>
      <w:r>
        <w:rPr>
          <w:rFonts w:cstheme="minorHAnsi"/>
          <w:bCs/>
          <w:iCs/>
        </w:rPr>
        <w:t>2/23</w:t>
      </w:r>
      <w:r w:rsidRPr="0089406F">
        <w:rPr>
          <w:rFonts w:cstheme="minorHAnsi"/>
          <w:bCs/>
          <w:iCs/>
        </w:rPr>
        <w:t xml:space="preserve"> Corporate Strategy under this priority</w:t>
      </w:r>
      <w:r w:rsidR="00C042E8">
        <w:rPr>
          <w:rFonts w:cstheme="minorHAnsi"/>
          <w:bCs/>
          <w:iCs/>
        </w:rPr>
        <w:t>.</w:t>
      </w:r>
    </w:p>
    <w:p w:rsidR="00C042E8" w:rsidP="00C042E8" w14:paraId="72F132FE" w14:textId="6A1590A6">
      <w:pPr>
        <w:pStyle w:val="ListParagraph"/>
        <w:spacing w:after="0" w:line="240" w:lineRule="auto"/>
        <w:ind w:left="567"/>
        <w:rPr>
          <w:rFonts w:eastAsia="Times New Roman" w:cstheme="minorHAnsi"/>
          <w:lang w:eastAsia="en-GB"/>
        </w:rPr>
      </w:pPr>
    </w:p>
    <w:p w:rsidR="00C042E8" w:rsidP="00C042E8" w14:paraId="6E5F0746" w14:textId="77777777">
      <w:pPr>
        <w:pStyle w:val="ListParagraph"/>
        <w:numPr>
          <w:ilvl w:val="0"/>
          <w:numId w:val="1"/>
        </w:numPr>
        <w:spacing w:after="0" w:line="240" w:lineRule="auto"/>
        <w:ind w:left="567" w:hanging="567"/>
        <w:rPr>
          <w:rFonts w:eastAsia="Times New Roman" w:cstheme="minorHAnsi"/>
          <w:lang w:eastAsia="en-GB"/>
        </w:rPr>
      </w:pPr>
      <w:r>
        <w:rPr>
          <w:rFonts w:eastAsia="Times New Roman" w:cstheme="minorHAnsi"/>
          <w:lang w:eastAsia="en-GB"/>
        </w:rPr>
        <w:t>One project is rated as completed, meaning that all key milestones have now been delivered:</w:t>
      </w:r>
    </w:p>
    <w:p w:rsidR="00C042E8" w:rsidRPr="00DC66C7" w:rsidP="00C042E8" w14:paraId="11DD1F31" w14:textId="24D349E8">
      <w:pPr>
        <w:pStyle w:val="ListParagraph"/>
        <w:numPr>
          <w:ilvl w:val="0"/>
          <w:numId w:val="19"/>
        </w:numPr>
        <w:spacing w:line="240" w:lineRule="auto"/>
        <w:rPr>
          <w:rFonts w:ascii="Arial" w:eastAsia="Calibri" w:hAnsi="Arial" w:cs="Arial"/>
        </w:rPr>
      </w:pPr>
      <w:r w:rsidRPr="00DC66C7">
        <w:rPr>
          <w:rFonts w:ascii="Arial" w:eastAsia="Calibri" w:hAnsi="Arial" w:cs="Arial"/>
        </w:rPr>
        <w:t>Deliver the new Worden Hall complex as a flagship venue</w:t>
      </w:r>
      <w:r>
        <w:rPr>
          <w:rFonts w:ascii="Arial" w:eastAsia="Calibri" w:hAnsi="Arial" w:cs="Arial"/>
        </w:rPr>
        <w:t>.</w:t>
      </w:r>
    </w:p>
    <w:p w:rsidR="00C042E8" w:rsidRPr="0089406F" w:rsidP="00C042E8" w14:paraId="3716D560" w14:textId="77777777">
      <w:pPr>
        <w:pStyle w:val="ListParagraph"/>
        <w:spacing w:after="0" w:line="240" w:lineRule="auto"/>
        <w:ind w:left="360"/>
        <w:rPr>
          <w:rFonts w:eastAsia="Times New Roman" w:cstheme="minorHAnsi"/>
          <w:lang w:eastAsia="en-GB"/>
        </w:rPr>
      </w:pPr>
    </w:p>
    <w:p w:rsidR="00041C94" w:rsidRPr="00C400C3" w:rsidP="00887AE6" w14:paraId="7741E0CE" w14:textId="2B4AFE8A">
      <w:pPr>
        <w:pStyle w:val="ListParagraph"/>
        <w:numPr>
          <w:ilvl w:val="0"/>
          <w:numId w:val="1"/>
        </w:numPr>
        <w:spacing w:after="0" w:line="240" w:lineRule="auto"/>
        <w:ind w:left="567" w:hanging="567"/>
        <w:rPr>
          <w:rFonts w:eastAsia="Times New Roman" w:cstheme="minorHAnsi"/>
          <w:lang w:eastAsia="en-GB"/>
        </w:rPr>
      </w:pPr>
      <w:r>
        <w:rPr>
          <w:rFonts w:cstheme="minorHAnsi"/>
          <w:bCs/>
          <w:iCs/>
        </w:rPr>
        <w:t>One</w:t>
      </w:r>
      <w:r w:rsidRPr="00C400C3" w:rsidR="0018682D">
        <w:rPr>
          <w:rFonts w:cstheme="minorHAnsi"/>
          <w:bCs/>
          <w:iCs/>
        </w:rPr>
        <w:t xml:space="preserve"> project </w:t>
      </w:r>
      <w:r>
        <w:rPr>
          <w:rFonts w:cstheme="minorHAnsi"/>
          <w:bCs/>
          <w:iCs/>
        </w:rPr>
        <w:t>is</w:t>
      </w:r>
      <w:r w:rsidRPr="00C400C3" w:rsidR="0018682D">
        <w:rPr>
          <w:rFonts w:cstheme="minorHAnsi"/>
          <w:bCs/>
          <w:iCs/>
        </w:rPr>
        <w:t xml:space="preserve"> rated as green, meaning </w:t>
      </w:r>
      <w:r>
        <w:rPr>
          <w:rFonts w:cstheme="minorHAnsi"/>
          <w:bCs/>
          <w:iCs/>
        </w:rPr>
        <w:t>it is</w:t>
      </w:r>
      <w:r w:rsidRPr="00C400C3" w:rsidR="0018682D">
        <w:rPr>
          <w:rFonts w:cstheme="minorHAnsi"/>
          <w:bCs/>
          <w:iCs/>
        </w:rPr>
        <w:t xml:space="preserve"> progressing according to timescales and plan: </w:t>
      </w:r>
    </w:p>
    <w:p w:rsidR="00041C94" w:rsidP="00DC66C7" w14:paraId="28D31C12" w14:textId="5A6C89C6">
      <w:pPr>
        <w:pStyle w:val="ListParagraph"/>
        <w:numPr>
          <w:ilvl w:val="0"/>
          <w:numId w:val="19"/>
        </w:numPr>
        <w:spacing w:line="240" w:lineRule="auto"/>
        <w:rPr>
          <w:rFonts w:ascii="Arial" w:eastAsia="Calibri" w:hAnsi="Arial" w:cs="Arial"/>
        </w:rPr>
      </w:pPr>
      <w:r w:rsidRPr="00DC66C7">
        <w:rPr>
          <w:rFonts w:ascii="Arial" w:eastAsia="Calibri" w:hAnsi="Arial" w:cs="Arial"/>
        </w:rPr>
        <w:t>Lead action to address climate change for South Ribble</w:t>
      </w:r>
      <w:r w:rsidR="00C042E8">
        <w:rPr>
          <w:rFonts w:ascii="Arial" w:eastAsia="Calibri" w:hAnsi="Arial" w:cs="Arial"/>
        </w:rPr>
        <w:t>.</w:t>
      </w:r>
    </w:p>
    <w:p w:rsidR="00C042E8" w:rsidP="00C042E8" w14:paraId="29A3E1DB" w14:textId="77777777">
      <w:pPr>
        <w:pStyle w:val="ListParagraph"/>
        <w:spacing w:line="240" w:lineRule="auto"/>
        <w:ind w:left="1080"/>
        <w:rPr>
          <w:rFonts w:ascii="Arial" w:eastAsia="Calibri" w:hAnsi="Arial" w:cs="Arial"/>
        </w:rPr>
      </w:pPr>
    </w:p>
    <w:p w:rsidR="00C042E8" w:rsidRPr="00C042E8" w:rsidP="00C042E8" w14:paraId="4EB03A34" w14:textId="6D0009E2">
      <w:pPr>
        <w:pStyle w:val="ListParagraph"/>
        <w:numPr>
          <w:ilvl w:val="0"/>
          <w:numId w:val="1"/>
        </w:numPr>
        <w:spacing w:line="240" w:lineRule="auto"/>
        <w:rPr>
          <w:rFonts w:ascii="Arial" w:eastAsia="Calibri" w:hAnsi="Arial" w:cs="Arial"/>
        </w:rPr>
      </w:pPr>
      <w:r>
        <w:rPr>
          <w:rFonts w:ascii="Arial" w:eastAsia="Calibri" w:hAnsi="Arial" w:cs="Arial"/>
        </w:rPr>
        <w:t>Two projects are rated amber:</w:t>
      </w:r>
    </w:p>
    <w:p w:rsidR="00C042E8" w:rsidRPr="00C042E8" w:rsidP="00C042E8" w14:paraId="369FCEEA" w14:textId="5A5D30B2">
      <w:pPr>
        <w:pStyle w:val="ListParagraph"/>
        <w:numPr>
          <w:ilvl w:val="0"/>
          <w:numId w:val="19"/>
        </w:numPr>
        <w:spacing w:line="240" w:lineRule="auto"/>
        <w:rPr>
          <w:rFonts w:ascii="Arial" w:eastAsia="Calibri" w:hAnsi="Arial" w:cs="Arial"/>
        </w:rPr>
      </w:pPr>
      <w:r w:rsidRPr="00DC66C7">
        <w:rPr>
          <w:rFonts w:ascii="Arial" w:eastAsia="Calibri" w:hAnsi="Arial" w:cs="Arial"/>
        </w:rPr>
        <w:t>Improve leisure facilities in South Ribble to improve wellbeing</w:t>
      </w:r>
      <w:r>
        <w:rPr>
          <w:rFonts w:ascii="Arial" w:eastAsia="Calibri" w:hAnsi="Arial" w:cs="Arial"/>
        </w:rPr>
        <w:t>,</w:t>
      </w:r>
      <w:r w:rsidRPr="00C042E8">
        <w:rPr>
          <w:rFonts w:ascii="Arial" w:eastAsia="Calibri" w:hAnsi="Arial" w:cs="Arial"/>
        </w:rPr>
        <w:t xml:space="preserve"> </w:t>
      </w:r>
    </w:p>
    <w:p w:rsidR="00C042E8" w:rsidRPr="00C042E8" w:rsidP="00C042E8" w14:paraId="6D0B8349" w14:textId="6653C455">
      <w:pPr>
        <w:pStyle w:val="ListParagraph"/>
        <w:numPr>
          <w:ilvl w:val="0"/>
          <w:numId w:val="19"/>
        </w:numPr>
        <w:spacing w:line="240" w:lineRule="auto"/>
        <w:rPr>
          <w:rFonts w:ascii="Arial" w:eastAsia="Calibri" w:hAnsi="Arial" w:cs="Arial"/>
        </w:rPr>
      </w:pPr>
      <w:r w:rsidRPr="00C042E8">
        <w:rPr>
          <w:rFonts w:ascii="Arial" w:eastAsia="Calibri" w:hAnsi="Arial" w:cs="Arial"/>
        </w:rPr>
        <w:t>Deliver affordable homes.</w:t>
      </w:r>
    </w:p>
    <w:p w:rsidR="0045484A" w:rsidP="00C042E8" w14:paraId="5CE6D637" w14:textId="77777777">
      <w:pPr>
        <w:pStyle w:val="ListParagraph"/>
        <w:spacing w:line="240" w:lineRule="auto"/>
        <w:ind w:left="1080"/>
        <w:rPr>
          <w:rFonts w:ascii="Arial" w:eastAsia="Calibri" w:hAnsi="Arial" w:cs="Arial"/>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035"/>
        <w:gridCol w:w="2056"/>
      </w:tblGrid>
      <w:tr w14:paraId="06FBE202" w14:textId="77777777" w:rsidTr="004A4A67">
        <w:tblPrEx>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7"/>
        </w:trPr>
        <w:tc>
          <w:tcPr>
            <w:tcW w:w="7736" w:type="dxa"/>
            <w:gridSpan w:val="2"/>
            <w:shd w:val="clear" w:color="auto" w:fill="auto"/>
            <w:vAlign w:val="center"/>
          </w:tcPr>
          <w:p w:rsidR="00C042E8" w:rsidRPr="00A5150D" w:rsidP="004A4A67" w14:paraId="4587A6CD" w14:textId="6A8C5064">
            <w:pPr>
              <w:widowControl w:val="0"/>
              <w:spacing w:after="0"/>
              <w:rPr>
                <w:bCs/>
              </w:rPr>
            </w:pPr>
            <w:r w:rsidRPr="00C042E8">
              <w:rPr>
                <w:rFonts w:ascii="Arial" w:eastAsia="Times New Roman" w:hAnsi="Arial" w:cs="Arial"/>
                <w:b/>
                <w:bCs/>
                <w:szCs w:val="20"/>
                <w:lang w:eastAsia="en-GB"/>
              </w:rPr>
              <w:t>Improve leisure facilities in South Ribble to improve wellbeing</w:t>
            </w:r>
          </w:p>
        </w:tc>
        <w:tc>
          <w:tcPr>
            <w:tcW w:w="2056" w:type="dxa"/>
            <w:shd w:val="clear" w:color="auto" w:fill="FFC000"/>
            <w:vAlign w:val="center"/>
          </w:tcPr>
          <w:p w:rsidR="00C042E8" w:rsidRPr="00A5150D" w:rsidP="004A4A67" w14:paraId="0016D527" w14:textId="77777777">
            <w:pPr>
              <w:widowControl w:val="0"/>
              <w:spacing w:after="0" w:line="259" w:lineRule="auto"/>
              <w:contextualSpacing/>
              <w:jc w:val="center"/>
              <w:outlineLvl w:val="0"/>
              <w:rPr>
                <w:b/>
                <w:color w:val="FFC000"/>
              </w:rPr>
            </w:pPr>
            <w:r w:rsidRPr="00A5150D">
              <w:rPr>
                <w:b/>
                <w:bCs/>
                <w:color w:val="FFFFFF" w:themeColor="background1"/>
                <w:sz w:val="24"/>
                <w:szCs w:val="24"/>
              </w:rPr>
              <w:t>AMBER</w:t>
            </w:r>
          </w:p>
        </w:tc>
      </w:tr>
      <w:tr w14:paraId="63E539C5" w14:textId="77777777" w:rsidTr="009A15B6">
        <w:tblPrEx>
          <w:tblW w:w="9792" w:type="dxa"/>
          <w:tblInd w:w="137" w:type="dxa"/>
          <w:tblLook w:val="04A0"/>
        </w:tblPrEx>
        <w:trPr>
          <w:cantSplit/>
          <w:trHeight w:val="1550"/>
        </w:trPr>
        <w:tc>
          <w:tcPr>
            <w:tcW w:w="1701" w:type="dxa"/>
            <w:tcBorders>
              <w:bottom w:val="single" w:sz="4" w:space="0" w:color="auto"/>
            </w:tcBorders>
            <w:shd w:val="clear" w:color="auto" w:fill="auto"/>
          </w:tcPr>
          <w:p w:rsidR="00C042E8" w:rsidRPr="00A5150D" w:rsidP="004A4A67" w14:paraId="081A19FC" w14:textId="77777777">
            <w:pPr>
              <w:widowControl w:val="0"/>
              <w:rPr>
                <w:b/>
                <w:bCs/>
                <w:color w:val="FF0000"/>
              </w:rPr>
            </w:pPr>
            <w:r w:rsidRPr="00A5150D">
              <w:rPr>
                <w:b/>
                <w:bCs/>
              </w:rPr>
              <w:t>Issue:</w:t>
            </w:r>
          </w:p>
        </w:tc>
        <w:tc>
          <w:tcPr>
            <w:tcW w:w="8091" w:type="dxa"/>
            <w:gridSpan w:val="2"/>
            <w:shd w:val="clear" w:color="auto" w:fill="auto"/>
          </w:tcPr>
          <w:p w:rsidR="00A340BC" w:rsidP="004A4A67" w14:paraId="40B58B3C" w14:textId="77777777">
            <w:pPr>
              <w:spacing w:after="0" w:line="240" w:lineRule="auto"/>
              <w:rPr>
                <w:rFonts w:eastAsia="Calibri" w:cs="Arial"/>
                <w:bCs/>
              </w:rPr>
            </w:pPr>
            <w:r w:rsidRPr="00A340BC">
              <w:rPr>
                <w:rFonts w:eastAsia="Calibri" w:cs="Arial"/>
                <w:bCs/>
              </w:rPr>
              <w:t xml:space="preserve">This project has been rated Amber during the quarter due to the risk of delays and cost uncertainty to deliver the </w:t>
            </w:r>
            <w:r w:rsidRPr="00A340BC" w:rsidR="002F55D0">
              <w:rPr>
                <w:rFonts w:eastAsia="Calibri" w:cs="Arial"/>
                <w:bCs/>
              </w:rPr>
              <w:t>d</w:t>
            </w:r>
            <w:r w:rsidRPr="00A340BC">
              <w:rPr>
                <w:rFonts w:eastAsia="Calibri" w:cs="Arial"/>
                <w:bCs/>
              </w:rPr>
              <w:t>ecarbonisation programme</w:t>
            </w:r>
            <w:r w:rsidRPr="00A340BC" w:rsidR="002F55D0">
              <w:rPr>
                <w:rFonts w:eastAsia="Calibri" w:cs="Arial"/>
                <w:bCs/>
              </w:rPr>
              <w:t xml:space="preserve">. </w:t>
            </w:r>
          </w:p>
          <w:p w:rsidR="00A340BC" w:rsidP="004A4A67" w14:paraId="380B40B6" w14:textId="77777777">
            <w:pPr>
              <w:spacing w:after="0" w:line="240" w:lineRule="auto"/>
              <w:rPr>
                <w:rFonts w:eastAsia="Calibri" w:cs="Arial"/>
                <w:bCs/>
              </w:rPr>
            </w:pPr>
          </w:p>
          <w:p w:rsidR="00BC481D" w:rsidP="004A4A67" w14:paraId="1630C64F" w14:textId="51381146">
            <w:pPr>
              <w:spacing w:after="0" w:line="240" w:lineRule="auto"/>
              <w:rPr>
                <w:rFonts w:eastAsia="Calibri" w:cs="Arial"/>
                <w:bCs/>
              </w:rPr>
            </w:pPr>
            <w:r>
              <w:rPr>
                <w:rFonts w:eastAsia="Calibri" w:cs="Arial"/>
                <w:bCs/>
              </w:rPr>
              <w:t>The decarbonisation of the leisure centres will need to be delivered under challenging timescales due to the con</w:t>
            </w:r>
            <w:r>
              <w:rPr>
                <w:rFonts w:eastAsia="Calibri" w:cs="Arial"/>
                <w:bCs/>
              </w:rPr>
              <w:t>ditions of the £4.9 million Salix grant funding. In addition to the grant funding, the volatility within the construction industry means that costs have escalated.</w:t>
            </w:r>
          </w:p>
          <w:p w:rsidR="00C042E8" w:rsidRPr="00A340BC" w:rsidP="004A4A67" w14:paraId="63C050B6" w14:textId="0DB28F51">
            <w:pPr>
              <w:spacing w:after="0" w:line="240" w:lineRule="auto"/>
              <w:rPr>
                <w:rFonts w:eastAsia="Calibri" w:cs="Arial"/>
                <w:bCs/>
              </w:rPr>
            </w:pPr>
            <w:r>
              <w:rPr>
                <w:rFonts w:eastAsia="Calibri" w:cs="Arial"/>
                <w:bCs/>
              </w:rPr>
              <w:t xml:space="preserve"> </w:t>
            </w:r>
          </w:p>
        </w:tc>
      </w:tr>
      <w:tr w14:paraId="019E6371" w14:textId="77777777" w:rsidTr="004A4A67">
        <w:tblPrEx>
          <w:tblW w:w="9792" w:type="dxa"/>
          <w:tblInd w:w="137" w:type="dxa"/>
          <w:tblLook w:val="04A0"/>
        </w:tblPrEx>
        <w:trPr>
          <w:cantSplit/>
          <w:trHeight w:val="1573"/>
        </w:trPr>
        <w:tc>
          <w:tcPr>
            <w:tcW w:w="1701" w:type="dxa"/>
            <w:tcBorders>
              <w:bottom w:val="single" w:sz="4" w:space="0" w:color="auto"/>
            </w:tcBorders>
            <w:shd w:val="clear" w:color="auto" w:fill="auto"/>
          </w:tcPr>
          <w:p w:rsidR="00C042E8" w:rsidRPr="00A5150D" w:rsidP="004A4A67" w14:paraId="6BE62ABB" w14:textId="77777777">
            <w:pPr>
              <w:widowControl w:val="0"/>
            </w:pPr>
            <w:r w:rsidRPr="00A5150D">
              <w:rPr>
                <w:b/>
                <w:bCs/>
              </w:rPr>
              <w:t xml:space="preserve">Action Plan -What will be done: </w:t>
            </w:r>
          </w:p>
        </w:tc>
        <w:tc>
          <w:tcPr>
            <w:tcW w:w="8091" w:type="dxa"/>
            <w:gridSpan w:val="2"/>
            <w:shd w:val="clear" w:color="auto" w:fill="auto"/>
          </w:tcPr>
          <w:p w:rsidR="00C042E8" w:rsidRPr="00A340BC" w:rsidP="004A4A67" w14:paraId="42F4AE3C" w14:textId="77777777">
            <w:pPr>
              <w:spacing w:after="0" w:line="240" w:lineRule="auto"/>
              <w:contextualSpacing/>
              <w:rPr>
                <w:rFonts w:ascii="Arial" w:eastAsia="Calibri" w:hAnsi="Arial" w:cs="Times New Roman"/>
                <w:szCs w:val="18"/>
              </w:rPr>
            </w:pPr>
          </w:p>
          <w:p w:rsidR="00A340BC" w:rsidP="004A4A67" w14:paraId="72A9540A" w14:textId="0E1B4623">
            <w:pPr>
              <w:spacing w:after="0" w:line="240" w:lineRule="auto"/>
              <w:contextualSpacing/>
              <w:rPr>
                <w:rFonts w:ascii="Arial" w:eastAsia="Calibri" w:hAnsi="Arial" w:cs="Times New Roman"/>
                <w:szCs w:val="18"/>
              </w:rPr>
            </w:pPr>
            <w:r w:rsidRPr="00A340BC">
              <w:rPr>
                <w:rFonts w:ascii="Arial" w:eastAsia="Calibri" w:hAnsi="Arial" w:cs="Times New Roman"/>
                <w:szCs w:val="18"/>
              </w:rPr>
              <w:t xml:space="preserve">A report was presented at </w:t>
            </w:r>
            <w:r w:rsidR="009960BB">
              <w:rPr>
                <w:rFonts w:ascii="Arial" w:eastAsia="Calibri" w:hAnsi="Arial" w:cs="Times New Roman"/>
                <w:szCs w:val="18"/>
              </w:rPr>
              <w:t>C</w:t>
            </w:r>
            <w:r w:rsidRPr="00A340BC">
              <w:rPr>
                <w:rFonts w:ascii="Arial" w:eastAsia="Calibri" w:hAnsi="Arial" w:cs="Times New Roman"/>
                <w:szCs w:val="18"/>
              </w:rPr>
              <w:t xml:space="preserve">ouncil </w:t>
            </w:r>
            <w:r>
              <w:rPr>
                <w:rFonts w:ascii="Arial" w:eastAsia="Calibri" w:hAnsi="Arial" w:cs="Times New Roman"/>
                <w:szCs w:val="18"/>
              </w:rPr>
              <w:t xml:space="preserve">in September for a decision to progress the delivery of the project. </w:t>
            </w:r>
            <w:r w:rsidR="00BC481D">
              <w:rPr>
                <w:rFonts w:ascii="Arial" w:eastAsia="Calibri" w:hAnsi="Arial" w:cs="Times New Roman"/>
                <w:szCs w:val="18"/>
              </w:rPr>
              <w:t xml:space="preserve">It was agreed at </w:t>
            </w:r>
            <w:r w:rsidR="00980388">
              <w:rPr>
                <w:rFonts w:ascii="Arial" w:eastAsia="Calibri" w:hAnsi="Arial" w:cs="Times New Roman"/>
                <w:szCs w:val="18"/>
              </w:rPr>
              <w:t>C</w:t>
            </w:r>
            <w:r w:rsidR="00BC481D">
              <w:rPr>
                <w:rFonts w:ascii="Arial" w:eastAsia="Calibri" w:hAnsi="Arial" w:cs="Times New Roman"/>
                <w:szCs w:val="18"/>
              </w:rPr>
              <w:t xml:space="preserve">ouncil that an alternative procurement strategy for the project was to be pursued </w:t>
            </w:r>
            <w:r w:rsidR="00980388">
              <w:rPr>
                <w:rFonts w:ascii="Arial" w:eastAsia="Calibri" w:hAnsi="Arial" w:cs="Times New Roman"/>
                <w:szCs w:val="18"/>
              </w:rPr>
              <w:t xml:space="preserve">and </w:t>
            </w:r>
            <w:r w:rsidR="00BC481D">
              <w:rPr>
                <w:rFonts w:ascii="Arial" w:eastAsia="Calibri" w:hAnsi="Arial" w:cs="Times New Roman"/>
                <w:szCs w:val="18"/>
              </w:rPr>
              <w:t xml:space="preserve">aligned to the wider leisure centre refurbishment works. A contractor will be appointed via the RISE framework to enable better co-ordination and management of risks of the decarbonisation and refurbishment work. It is anticipated that the project will be back on-track and rated green in quarter three following these decisions. </w:t>
            </w:r>
          </w:p>
          <w:p w:rsidR="00BC481D" w:rsidRPr="00A340BC" w:rsidP="004A4A67" w14:paraId="3A2A3E22" w14:textId="34D88D16">
            <w:pPr>
              <w:spacing w:after="0" w:line="240" w:lineRule="auto"/>
              <w:contextualSpacing/>
              <w:rPr>
                <w:rFonts w:ascii="Arial" w:eastAsia="Calibri" w:hAnsi="Arial" w:cs="Times New Roman"/>
                <w:szCs w:val="18"/>
              </w:rPr>
            </w:pPr>
          </w:p>
        </w:tc>
      </w:tr>
    </w:tbl>
    <w:p w:rsidR="00C042E8" w:rsidP="00C042E8" w14:paraId="3B95F751" w14:textId="033DB62C">
      <w:pPr>
        <w:spacing w:line="240" w:lineRule="auto"/>
        <w:rPr>
          <w:rFonts w:ascii="Arial" w:eastAsia="Calibri" w:hAnsi="Arial" w:cs="Arial"/>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035"/>
        <w:gridCol w:w="2056"/>
      </w:tblGrid>
      <w:tr w14:paraId="677FB14D" w14:textId="77777777" w:rsidTr="004A4A67">
        <w:tblPrEx>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7"/>
        </w:trPr>
        <w:tc>
          <w:tcPr>
            <w:tcW w:w="7736" w:type="dxa"/>
            <w:gridSpan w:val="2"/>
            <w:shd w:val="clear" w:color="auto" w:fill="auto"/>
            <w:vAlign w:val="center"/>
          </w:tcPr>
          <w:p w:rsidR="00C042E8" w:rsidRPr="00A5150D" w:rsidP="004A4A67" w14:paraId="35B405BE" w14:textId="09AD2550">
            <w:pPr>
              <w:widowControl w:val="0"/>
              <w:spacing w:after="0"/>
              <w:rPr>
                <w:bCs/>
              </w:rPr>
            </w:pPr>
            <w:r>
              <w:rPr>
                <w:rFonts w:ascii="Arial" w:eastAsia="Times New Roman" w:hAnsi="Arial" w:cs="Arial"/>
                <w:b/>
                <w:bCs/>
                <w:szCs w:val="20"/>
                <w:lang w:eastAsia="en-GB"/>
              </w:rPr>
              <w:t>Deliver affordable homes</w:t>
            </w:r>
          </w:p>
        </w:tc>
        <w:tc>
          <w:tcPr>
            <w:tcW w:w="2056" w:type="dxa"/>
            <w:shd w:val="clear" w:color="auto" w:fill="FFC000"/>
            <w:vAlign w:val="center"/>
          </w:tcPr>
          <w:p w:rsidR="00C042E8" w:rsidRPr="00A5150D" w:rsidP="004A4A67" w14:paraId="564D1DDE" w14:textId="77777777">
            <w:pPr>
              <w:widowControl w:val="0"/>
              <w:spacing w:after="0" w:line="259" w:lineRule="auto"/>
              <w:contextualSpacing/>
              <w:jc w:val="center"/>
              <w:outlineLvl w:val="0"/>
              <w:rPr>
                <w:b/>
                <w:color w:val="FFC000"/>
              </w:rPr>
            </w:pPr>
            <w:r w:rsidRPr="00A5150D">
              <w:rPr>
                <w:b/>
                <w:bCs/>
                <w:color w:val="FFFFFF" w:themeColor="background1"/>
                <w:sz w:val="24"/>
                <w:szCs w:val="24"/>
              </w:rPr>
              <w:t>AMBER</w:t>
            </w:r>
          </w:p>
        </w:tc>
      </w:tr>
      <w:tr w14:paraId="2E99339B" w14:textId="77777777" w:rsidTr="00E22B3F">
        <w:tblPrEx>
          <w:tblW w:w="9792" w:type="dxa"/>
          <w:tblInd w:w="137" w:type="dxa"/>
          <w:tblLook w:val="04A0"/>
        </w:tblPrEx>
        <w:trPr>
          <w:cantSplit/>
          <w:trHeight w:val="1387"/>
        </w:trPr>
        <w:tc>
          <w:tcPr>
            <w:tcW w:w="1701" w:type="dxa"/>
            <w:tcBorders>
              <w:bottom w:val="single" w:sz="4" w:space="0" w:color="auto"/>
            </w:tcBorders>
            <w:shd w:val="clear" w:color="auto" w:fill="auto"/>
          </w:tcPr>
          <w:p w:rsidR="00C042E8" w:rsidRPr="00A5150D" w:rsidP="004A4A67" w14:paraId="28C1C724" w14:textId="77777777">
            <w:pPr>
              <w:widowControl w:val="0"/>
              <w:rPr>
                <w:b/>
                <w:bCs/>
                <w:color w:val="FF0000"/>
              </w:rPr>
            </w:pPr>
            <w:r w:rsidRPr="00A5150D">
              <w:rPr>
                <w:b/>
                <w:bCs/>
              </w:rPr>
              <w:t>Issue:</w:t>
            </w:r>
          </w:p>
        </w:tc>
        <w:tc>
          <w:tcPr>
            <w:tcW w:w="8091" w:type="dxa"/>
            <w:gridSpan w:val="2"/>
            <w:shd w:val="clear" w:color="auto" w:fill="auto"/>
          </w:tcPr>
          <w:p w:rsidR="00686417" w:rsidP="004A4A67" w14:paraId="294DF709" w14:textId="735DAD30">
            <w:pPr>
              <w:spacing w:after="0" w:line="240" w:lineRule="auto"/>
              <w:rPr>
                <w:rFonts w:eastAsia="Calibri" w:cs="Arial"/>
                <w:bCs/>
              </w:rPr>
            </w:pPr>
            <w:r w:rsidRPr="00E22B3F">
              <w:rPr>
                <w:rFonts w:eastAsia="Calibri" w:cs="Arial"/>
                <w:bCs/>
              </w:rPr>
              <w:t>The affordable homes project has been rated Amber this quarter due to the completion date for the McKenzie Arms scheme being delayed and is</w:t>
            </w:r>
            <w:r>
              <w:rPr>
                <w:rFonts w:eastAsia="Calibri" w:cs="Arial"/>
                <w:bCs/>
              </w:rPr>
              <w:t xml:space="preserve"> currently programmed to </w:t>
            </w:r>
            <w:r w:rsidRPr="00E22B3F">
              <w:rPr>
                <w:rFonts w:eastAsia="Calibri" w:cs="Arial"/>
                <w:bCs/>
              </w:rPr>
              <w:t xml:space="preserve">complete in February 2023. </w:t>
            </w:r>
            <w:r>
              <w:rPr>
                <w:rFonts w:eastAsia="Calibri" w:cs="Arial"/>
                <w:bCs/>
              </w:rPr>
              <w:t>The delays can be attributed to issues with the supply of material and supply chains, resourcing challenges, and delays from contractors.</w:t>
            </w:r>
          </w:p>
          <w:p w:rsidR="00686417" w:rsidP="004A4A67" w14:paraId="4C9AB0AD" w14:textId="77777777">
            <w:pPr>
              <w:spacing w:after="0" w:line="240" w:lineRule="auto"/>
              <w:rPr>
                <w:rFonts w:eastAsia="Calibri" w:cs="Arial"/>
                <w:bCs/>
              </w:rPr>
            </w:pPr>
          </w:p>
          <w:p w:rsidR="00C042E8" w:rsidP="004A4A67" w14:paraId="57575732" w14:textId="77777777">
            <w:pPr>
              <w:spacing w:after="0" w:line="240" w:lineRule="auto"/>
              <w:rPr>
                <w:rFonts w:eastAsia="Calibri" w:cs="Arial"/>
                <w:bCs/>
              </w:rPr>
            </w:pPr>
            <w:r>
              <w:rPr>
                <w:rFonts w:eastAsia="Calibri" w:cs="Arial"/>
                <w:bCs/>
              </w:rPr>
              <w:t xml:space="preserve">The Jubilee Gardens </w:t>
            </w:r>
            <w:r w:rsidR="00686417">
              <w:rPr>
                <w:rFonts w:eastAsia="Calibri" w:cs="Arial"/>
                <w:bCs/>
              </w:rPr>
              <w:t>scheme has also been delayed due to budget approval being deferred pending a further review of project costs, which have been impacted by</w:t>
            </w:r>
            <w:r w:rsidRPr="00686417" w:rsidR="00686417">
              <w:rPr>
                <w:rFonts w:eastAsia="Calibri" w:cs="Arial"/>
                <w:bCs/>
              </w:rPr>
              <w:t xml:space="preserve"> the wider economic volatility in the construction market</w:t>
            </w:r>
            <w:r w:rsidR="00686417">
              <w:rPr>
                <w:rFonts w:eastAsia="Calibri" w:cs="Arial"/>
                <w:bCs/>
              </w:rPr>
              <w:t>. It is expected that the project on-site start date will be impacted</w:t>
            </w:r>
            <w:r w:rsidR="00314B30">
              <w:rPr>
                <w:rFonts w:eastAsia="Calibri" w:cs="Arial"/>
                <w:bCs/>
              </w:rPr>
              <w:t xml:space="preserve"> and is anticipated to commence in January 2023.</w:t>
            </w:r>
            <w:r w:rsidR="00686417">
              <w:rPr>
                <w:rFonts w:eastAsia="Calibri" w:cs="Arial"/>
                <w:bCs/>
              </w:rPr>
              <w:t xml:space="preserve"> </w:t>
            </w:r>
          </w:p>
          <w:p w:rsidR="002B08E8" w:rsidRPr="002B08E8" w:rsidP="004A4A67" w14:paraId="2D0186B2" w14:textId="57E3C05B">
            <w:pPr>
              <w:spacing w:after="0" w:line="240" w:lineRule="auto"/>
              <w:rPr>
                <w:rFonts w:eastAsia="Calibri" w:cs="Arial"/>
                <w:bCs/>
              </w:rPr>
            </w:pPr>
          </w:p>
        </w:tc>
      </w:tr>
      <w:tr w14:paraId="1AEF47B0" w14:textId="77777777" w:rsidTr="00E22B3F">
        <w:tblPrEx>
          <w:tblW w:w="9792" w:type="dxa"/>
          <w:tblInd w:w="137" w:type="dxa"/>
          <w:tblLook w:val="04A0"/>
        </w:tblPrEx>
        <w:trPr>
          <w:cantSplit/>
          <w:trHeight w:val="1573"/>
        </w:trPr>
        <w:tc>
          <w:tcPr>
            <w:tcW w:w="1701" w:type="dxa"/>
            <w:tcBorders>
              <w:bottom w:val="single" w:sz="4" w:space="0" w:color="auto"/>
            </w:tcBorders>
            <w:shd w:val="clear" w:color="auto" w:fill="auto"/>
          </w:tcPr>
          <w:p w:rsidR="00C042E8" w:rsidRPr="00A5150D" w:rsidP="004A4A67" w14:paraId="465D8C16" w14:textId="77777777">
            <w:pPr>
              <w:widowControl w:val="0"/>
            </w:pPr>
            <w:r w:rsidRPr="00A5150D">
              <w:rPr>
                <w:b/>
                <w:bCs/>
              </w:rPr>
              <w:t xml:space="preserve">Action Plan -What will be done: </w:t>
            </w:r>
          </w:p>
        </w:tc>
        <w:tc>
          <w:tcPr>
            <w:tcW w:w="8091" w:type="dxa"/>
            <w:gridSpan w:val="2"/>
            <w:shd w:val="clear" w:color="auto" w:fill="auto"/>
          </w:tcPr>
          <w:p w:rsidR="00E22B3F" w:rsidP="004A4A67" w14:paraId="33337C09" w14:textId="77777777">
            <w:pPr>
              <w:spacing w:after="0" w:line="240" w:lineRule="auto"/>
              <w:contextualSpacing/>
              <w:rPr>
                <w:rFonts w:eastAsia="Calibri" w:cs="Arial"/>
                <w:bCs/>
              </w:rPr>
            </w:pPr>
          </w:p>
          <w:p w:rsidR="00E22B3F" w:rsidRPr="00980388" w:rsidP="004A4A67" w14:paraId="6A7345F0" w14:textId="6B8CF8B0">
            <w:pPr>
              <w:spacing w:after="0" w:line="240" w:lineRule="auto"/>
              <w:contextualSpacing/>
              <w:rPr>
                <w:rFonts w:eastAsia="Calibri" w:cs="Arial"/>
                <w:bCs/>
              </w:rPr>
            </w:pPr>
            <w:r>
              <w:rPr>
                <w:rFonts w:eastAsia="Calibri" w:cs="Arial"/>
                <w:bCs/>
              </w:rPr>
              <w:t>A review of o</w:t>
            </w:r>
            <w:r w:rsidRPr="00E22B3F">
              <w:rPr>
                <w:rFonts w:eastAsia="Calibri" w:cs="Arial"/>
                <w:bCs/>
              </w:rPr>
              <w:t>pportunities to</w:t>
            </w:r>
            <w:r w:rsidRPr="00980388">
              <w:rPr>
                <w:rFonts w:eastAsia="Calibri" w:cs="Arial"/>
                <w:bCs/>
              </w:rPr>
              <w:t xml:space="preserve"> accelerate the</w:t>
            </w:r>
            <w:r w:rsidRPr="00980388" w:rsidR="00686417">
              <w:rPr>
                <w:rFonts w:eastAsia="Calibri" w:cs="Arial"/>
                <w:bCs/>
              </w:rPr>
              <w:t xml:space="preserve"> McKenzie Arms</w:t>
            </w:r>
            <w:r w:rsidRPr="00980388">
              <w:rPr>
                <w:rFonts w:eastAsia="Calibri" w:cs="Arial"/>
                <w:bCs/>
              </w:rPr>
              <w:t xml:space="preserve"> </w:t>
            </w:r>
            <w:r w:rsidRPr="00980388" w:rsidR="00314B30">
              <w:rPr>
                <w:rFonts w:eastAsia="Calibri" w:cs="Arial"/>
                <w:bCs/>
              </w:rPr>
              <w:t>programme is being</w:t>
            </w:r>
            <w:r w:rsidRPr="00980388">
              <w:rPr>
                <w:rFonts w:eastAsia="Calibri" w:cs="Arial"/>
                <w:bCs/>
              </w:rPr>
              <w:t xml:space="preserve"> </w:t>
            </w:r>
            <w:r w:rsidRPr="00980388" w:rsidR="00314B30">
              <w:rPr>
                <w:rFonts w:eastAsia="Calibri" w:cs="Arial"/>
                <w:bCs/>
              </w:rPr>
              <w:t>carried out</w:t>
            </w:r>
            <w:r w:rsidRPr="00980388">
              <w:rPr>
                <w:rFonts w:eastAsia="Calibri" w:cs="Arial"/>
                <w:bCs/>
              </w:rPr>
              <w:t xml:space="preserve"> by the </w:t>
            </w:r>
            <w:r w:rsidRPr="00980388" w:rsidR="00F823B2">
              <w:rPr>
                <w:rFonts w:eastAsia="Calibri" w:cs="Arial"/>
                <w:bCs/>
              </w:rPr>
              <w:t>c</w:t>
            </w:r>
            <w:r w:rsidRPr="00980388">
              <w:rPr>
                <w:rFonts w:eastAsia="Calibri" w:cs="Arial"/>
                <w:bCs/>
              </w:rPr>
              <w:t xml:space="preserve">ouncil together with contractors. </w:t>
            </w:r>
            <w:r w:rsidRPr="00980388" w:rsidR="00686417">
              <w:rPr>
                <w:rFonts w:eastAsia="Calibri" w:cs="Arial"/>
                <w:bCs/>
              </w:rPr>
              <w:t xml:space="preserve">The delivery programme will be updated </w:t>
            </w:r>
            <w:r w:rsidRPr="00980388" w:rsidR="008750EC">
              <w:rPr>
                <w:rFonts w:eastAsia="Calibri" w:cs="Arial"/>
                <w:bCs/>
              </w:rPr>
              <w:t>in line</w:t>
            </w:r>
            <w:r w:rsidRPr="00980388" w:rsidR="00686417">
              <w:rPr>
                <w:rFonts w:eastAsia="Calibri" w:cs="Arial"/>
                <w:bCs/>
              </w:rPr>
              <w:t xml:space="preserve"> with the revised programmed completion date. </w:t>
            </w:r>
          </w:p>
          <w:p w:rsidR="00686417" w:rsidRPr="00980388" w:rsidP="004A4A67" w14:paraId="6877F32E" w14:textId="7530229F">
            <w:pPr>
              <w:spacing w:after="0" w:line="240" w:lineRule="auto"/>
              <w:contextualSpacing/>
              <w:rPr>
                <w:rFonts w:eastAsia="Calibri" w:cs="Arial"/>
                <w:bCs/>
              </w:rPr>
            </w:pPr>
          </w:p>
          <w:p w:rsidR="00CC31D3" w:rsidRPr="00980388" w:rsidP="00CC31D3" w14:paraId="7374457E" w14:textId="29B87254">
            <w:pPr>
              <w:pStyle w:val="NormalWeb"/>
              <w:spacing w:before="0" w:beforeAutospacing="0" w:after="0" w:afterAutospacing="0"/>
              <w:textAlignment w:val="baseline"/>
              <w:rPr>
                <w:rFonts w:eastAsia="Calibri" w:asciiTheme="minorHAnsi" w:hAnsiTheme="minorHAnsi" w:cs="Arial"/>
                <w:bCs/>
                <w:sz w:val="22"/>
                <w:szCs w:val="22"/>
                <w:lang w:eastAsia="en-US"/>
              </w:rPr>
            </w:pPr>
            <w:r w:rsidRPr="00980388">
              <w:rPr>
                <w:rFonts w:eastAsia="Calibri" w:asciiTheme="minorHAnsi" w:hAnsiTheme="minorHAnsi" w:cs="Arial"/>
                <w:bCs/>
                <w:sz w:val="22"/>
                <w:szCs w:val="22"/>
                <w:lang w:eastAsia="en-US"/>
              </w:rPr>
              <w:t>A report will be presented to Council in November 2022 and the delivery of the scheme will be reprofiled. The initial on-site</w:t>
            </w:r>
            <w:r w:rsidR="008B4906">
              <w:rPr>
                <w:rFonts w:eastAsia="Calibri" w:asciiTheme="minorHAnsi" w:hAnsiTheme="minorHAnsi" w:cs="Arial"/>
                <w:bCs/>
                <w:sz w:val="22"/>
                <w:szCs w:val="22"/>
                <w:lang w:eastAsia="en-US"/>
              </w:rPr>
              <w:t xml:space="preserve"> </w:t>
            </w:r>
            <w:r w:rsidRPr="00980388">
              <w:rPr>
                <w:rFonts w:eastAsia="Calibri" w:asciiTheme="minorHAnsi" w:hAnsiTheme="minorHAnsi" w:cs="Arial"/>
                <w:bCs/>
                <w:sz w:val="22"/>
                <w:szCs w:val="22"/>
                <w:lang w:eastAsia="en-US"/>
              </w:rPr>
              <w:t xml:space="preserve">work on West Paddock next to the Civic Centre will start on 10 October with holes being excavated for </w:t>
            </w:r>
            <w:r w:rsidRPr="00980388">
              <w:rPr>
                <w:rFonts w:eastAsia="Calibri" w:asciiTheme="minorHAnsi" w:hAnsiTheme="minorHAnsi" w:cs="Arial"/>
                <w:bCs/>
                <w:sz w:val="22"/>
                <w:szCs w:val="22"/>
                <w:lang w:eastAsia="en-US"/>
              </w:rPr>
              <w:t>investigation works and a welfare cabin being delivered.</w:t>
            </w:r>
          </w:p>
          <w:p w:rsidR="008B4906" w:rsidRPr="00980388" w:rsidP="00CC31D3" w14:paraId="521F0DFB" w14:textId="77777777">
            <w:pPr>
              <w:pStyle w:val="NormalWeb"/>
              <w:spacing w:before="0" w:beforeAutospacing="0" w:after="0" w:afterAutospacing="0"/>
              <w:textAlignment w:val="baseline"/>
              <w:rPr>
                <w:rFonts w:eastAsia="Calibri" w:asciiTheme="minorHAnsi" w:hAnsiTheme="minorHAnsi" w:cs="Arial"/>
                <w:bCs/>
                <w:sz w:val="22"/>
                <w:szCs w:val="22"/>
                <w:lang w:eastAsia="en-US"/>
              </w:rPr>
            </w:pPr>
          </w:p>
          <w:p w:rsidR="00686417" w:rsidRPr="00980388" w:rsidP="00980388" w14:paraId="0DD40C79" w14:textId="6BD78885">
            <w:pPr>
              <w:pStyle w:val="NormalWeb"/>
              <w:spacing w:before="0" w:beforeAutospacing="0" w:after="0" w:afterAutospacing="0"/>
              <w:textAlignment w:val="baseline"/>
              <w:rPr>
                <w:rFonts w:eastAsia="Calibri" w:asciiTheme="minorHAnsi" w:hAnsiTheme="minorHAnsi" w:cs="Arial"/>
                <w:bCs/>
                <w:sz w:val="22"/>
                <w:szCs w:val="22"/>
                <w:lang w:eastAsia="en-US"/>
              </w:rPr>
            </w:pPr>
            <w:r w:rsidRPr="00980388">
              <w:rPr>
                <w:rFonts w:eastAsia="Calibri" w:asciiTheme="minorHAnsi" w:hAnsiTheme="minorHAnsi" w:cs="Arial"/>
                <w:bCs/>
                <w:sz w:val="22"/>
                <w:szCs w:val="22"/>
                <w:lang w:eastAsia="en-US"/>
              </w:rPr>
              <w:t>The site hoardings will be installed during December and the main on-site works will start in January 2023.</w:t>
            </w:r>
          </w:p>
        </w:tc>
      </w:tr>
    </w:tbl>
    <w:p w:rsidR="00C042E8" w:rsidRPr="00C042E8" w:rsidP="00C042E8" w14:paraId="71825DFE" w14:textId="77777777">
      <w:pPr>
        <w:spacing w:line="240" w:lineRule="auto"/>
        <w:rPr>
          <w:rFonts w:ascii="Arial" w:eastAsia="Calibri" w:hAnsi="Arial" w:cs="Arial"/>
        </w:rPr>
      </w:pPr>
    </w:p>
    <w:p w:rsidR="00041C94" w:rsidRPr="00460D79" w:rsidP="00041C94" w14:paraId="07DA223F" w14:textId="77777777">
      <w:pPr>
        <w:pStyle w:val="Heading2"/>
        <w:tabs>
          <w:tab w:val="left" w:pos="6375"/>
        </w:tabs>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r>
        <w:rPr>
          <w:rFonts w:asciiTheme="majorHAnsi" w:hAnsiTheme="majorHAnsi" w:cstheme="majorHAnsi"/>
          <w:sz w:val="22"/>
          <w:szCs w:val="22"/>
        </w:rPr>
        <w:tab/>
      </w:r>
      <w:r>
        <w:rPr>
          <w:rFonts w:cstheme="minorHAnsi"/>
          <w:b w:val="0"/>
          <w:bCs w:val="0"/>
          <w:noProof/>
        </w:rPr>
        <mc:AlternateContent>
          <mc:Choice Requires="wpg">
            <w:drawing>
              <wp:inline distT="0" distB="0" distL="0" distR="0">
                <wp:extent cx="6257925" cy="752475"/>
                <wp:effectExtent l="38100" t="38100" r="28575" b="28575"/>
                <wp:docPr id="321" name="Group 321"/>
                <wp:cNvGraphicFramePr/>
                <a:graphic xmlns:a="http://schemas.openxmlformats.org/drawingml/2006/main">
                  <a:graphicData uri="http://schemas.microsoft.com/office/word/2010/wordprocessingGroup">
                    <wpg:wgp xmlns:wpg="http://schemas.microsoft.com/office/word/2010/wordprocessingGroup">
                      <wpg:cNvGrpSpPr/>
                      <wpg:grpSpPr>
                        <a:xfrm>
                          <a:off x="0" y="0"/>
                          <a:ext cx="6257925" cy="752475"/>
                          <a:chOff x="60758" y="58585"/>
                          <a:chExt cx="6258521" cy="678706"/>
                        </a:xfrm>
                      </wpg:grpSpPr>
                      <wpg:grpSp>
                        <wpg:cNvPr id="322" name="Group 322"/>
                        <wpg:cNvGrpSpPr/>
                        <wpg:grpSpPr>
                          <a:xfrm>
                            <a:off x="60758" y="58585"/>
                            <a:ext cx="1968686" cy="678706"/>
                            <a:chOff x="110923" y="51160"/>
                            <a:chExt cx="1971772" cy="657908"/>
                          </a:xfrm>
                        </wpg:grpSpPr>
                        <wps:wsp xmlns:wps="http://schemas.microsoft.com/office/word/2010/wordprocessingShape">
                          <wps:cNvPr id="323"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rsidR="00B10C74" w:rsidRPr="00C400C3" w:rsidP="00041C94" w14:paraId="0E27CCC7" w14:textId="77777777">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xmlns:wps="http://schemas.microsoft.com/office/word/2010/wordprocessingShape">
                          <wps:cNvPr id="324"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fill="norm" h="647700" w="647700" stroke="1">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blurRad="0" dist="23000" dir="5400000" sx="100000" sy="100000" kx="0" ky="0" algn="b" rotWithShape="0">
                                <a:srgbClr val="000000">
                                  <a:alpha val="34998"/>
                                </a:srgbClr>
                              </a:outerShdw>
                            </a:effectLst>
                          </wps:spPr>
                          <wps:txbx>
                            <w:txbxContent>
                              <w:p w:rsidR="00B10C74" w:rsidRPr="00CD1D55" w:rsidP="00041C94" w14:paraId="630BA0EA" w14:textId="77777777">
                                <w:pPr>
                                  <w:spacing w:before="320"/>
                                  <w:jc w:val="center"/>
                                  <w:rPr>
                                    <w:b/>
                                    <w:color w:val="FFFFFF"/>
                                    <w:lang w:val="en-US"/>
                                  </w:rPr>
                                </w:pPr>
                                <w:r>
                                  <w:rPr>
                                    <w:b/>
                                    <w:color w:val="FFFFFF"/>
                                    <w:lang w:val="en-US"/>
                                  </w:rPr>
                                  <w:t>2</w:t>
                                </w:r>
                              </w:p>
                            </w:txbxContent>
                          </wps:txbx>
                          <wps:bodyPr rot="0" vert="horz" wrap="square" anchor="ctr" anchorCtr="0" upright="1"/>
                        </wps:wsp>
                      </wpg:grpSp>
                      <wpg:grpSp>
                        <wpg:cNvPr id="325" name="Group 325"/>
                        <wpg:cNvGrpSpPr/>
                        <wpg:grpSpPr>
                          <a:xfrm>
                            <a:off x="2215510" y="123830"/>
                            <a:ext cx="1941079" cy="605821"/>
                            <a:chOff x="121135" y="37328"/>
                            <a:chExt cx="1944347" cy="607276"/>
                          </a:xfrm>
                        </wpg:grpSpPr>
                        <wps:wsp xmlns:wps="http://schemas.microsoft.com/office/word/2010/wordprocessingShape">
                          <wps:cNvPr id="326"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rsidR="00B10C74" w:rsidRPr="00672A2D" w:rsidP="00041C94" w14:paraId="6D2F7E04" w14:textId="77777777">
                                <w:pPr>
                                  <w:ind w:left="227"/>
                                  <w:jc w:val="center"/>
                                  <w:rPr>
                                    <w:b/>
                                    <w:color w:val="92D050"/>
                                  </w:rPr>
                                </w:pPr>
                                <w:r w:rsidRPr="006754E6">
                                  <w:rPr>
                                    <w:b/>
                                    <w:color w:val="0070C0"/>
                                    <w:sz w:val="20"/>
                                    <w:szCs w:val="20"/>
                                  </w:rPr>
                                  <w:t xml:space="preserve">Worse </w:t>
                                </w:r>
                                <w:r w:rsidRPr="006754E6">
                                  <w:rPr>
                                    <w:b/>
                                    <w:color w:val="0070C0"/>
                                    <w:sz w:val="20"/>
                                    <w:szCs w:val="20"/>
                                  </w:rPr>
                                  <w:t>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xmlns:wps="http://schemas.microsoft.com/office/word/2010/wordprocessingShape">
                          <wps:cNvPr id="327"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blurRad="0" dist="23000" dir="5400000" sx="100000" sy="100000" kx="0" ky="0" algn="b" rotWithShape="0">
                                <a:srgbClr val="000000">
                                  <a:alpha val="34998"/>
                                </a:srgbClr>
                              </a:outerShdw>
                            </a:effectLst>
                          </wps:spPr>
                          <wps:txbx>
                            <w:txbxContent>
                              <w:p w:rsidR="00B10C74" w:rsidRPr="00770FF6" w:rsidP="00041C94" w14:paraId="42D08978" w14:textId="77777777">
                                <w:pPr>
                                  <w:spacing w:before="60"/>
                                  <w:jc w:val="center"/>
                                  <w:rPr>
                                    <w:b/>
                                    <w:color w:val="FFFFFF"/>
                                    <w:lang w:val="en-US"/>
                                  </w:rPr>
                                </w:pPr>
                                <w:r>
                                  <w:rPr>
                                    <w:b/>
                                    <w:color w:val="FFFFFF"/>
                                    <w:lang w:val="en-US"/>
                                  </w:rPr>
                                  <w:t>0</w:t>
                                </w:r>
                              </w:p>
                            </w:txbxContent>
                          </wps:txbx>
                          <wps:bodyPr rot="0" vert="horz" wrap="square" anchor="ctr" anchorCtr="0" upright="1"/>
                        </wps:wsp>
                      </wpg:grpSp>
                      <wpg:grpSp>
                        <wpg:cNvPr id="328" name="Group 328"/>
                        <wpg:cNvGrpSpPr/>
                        <wpg:grpSpPr>
                          <a:xfrm>
                            <a:off x="4354276" y="58586"/>
                            <a:ext cx="1965003" cy="671065"/>
                            <a:chOff x="80821" y="-45110"/>
                            <a:chExt cx="1967334" cy="636979"/>
                          </a:xfrm>
                        </wpg:grpSpPr>
                        <wps:wsp xmlns:wps="http://schemas.microsoft.com/office/word/2010/wordprocessingShape">
                          <wps:cNvPr id="329"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rsidR="00B10C74" w:rsidRPr="00C400C3" w:rsidP="00041C94" w14:paraId="0AFD0480" w14:textId="77777777">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330" name="Group 81"/>
                          <wpg:cNvGrpSpPr/>
                          <wpg:grpSpPr>
                            <a:xfrm>
                              <a:off x="80821" y="-45110"/>
                              <a:ext cx="508033" cy="497383"/>
                              <a:chOff x="80821" y="-45110"/>
                              <a:chExt cx="508033" cy="497383"/>
                            </a:xfrm>
                          </wpg:grpSpPr>
                          <wps:wsp xmlns:wps="http://schemas.microsoft.com/office/word/2010/wordprocessingShape">
                            <wps:cNvPr id="331"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blurRad="0" dist="23000" dir="5400000" sx="100000" sy="100000" kx="0" ky="0" algn="b" rotWithShape="0">
                                  <a:srgbClr val="000000">
                                    <a:alpha val="34998"/>
                                  </a:srgbClr>
                                </a:outerShdw>
                              </a:effectLst>
                            </wps:spPr>
                            <wps:txbx>
                              <w:txbxContent>
                                <w:p w:rsidR="00B10C74" w:rsidRPr="00AB433C" w:rsidP="00041C94" w14:paraId="0FECD479" w14:textId="77777777">
                                  <w:pPr>
                                    <w:rPr>
                                      <w:b/>
                                      <w:color w:val="FFFFFF"/>
                                    </w:rPr>
                                  </w:pPr>
                                </w:p>
                                <w:p w:rsidR="00B10C74" w:rsidRPr="00AB433C" w:rsidP="00041C94" w14:paraId="0B9FD923" w14:textId="77777777">
                                  <w:pPr>
                                    <w:rPr>
                                      <w:b/>
                                      <w:color w:val="FFFFFF"/>
                                    </w:rPr>
                                  </w:pPr>
                                </w:p>
                              </w:txbxContent>
                            </wps:txbx>
                            <wps:bodyPr rot="0" vert="horz" wrap="square" anchor="t" anchorCtr="0" upright="1"/>
                          </wps:wsp>
                          <wps:wsp xmlns:wps="http://schemas.microsoft.com/office/word/2010/wordprocessingShape">
                            <wps:cNvPr id="332" name="Text Box 110"/>
                            <wps:cNvSpPr txBox="1">
                              <a:spLocks noChangeArrowheads="1"/>
                            </wps:cNvSpPr>
                            <wps:spPr bwMode="auto">
                              <a:xfrm>
                                <a:off x="191389" y="112826"/>
                                <a:ext cx="258445" cy="3394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B10C74" w:rsidRPr="00B0312C" w:rsidP="00041C94" w14:paraId="4F76F1F5" w14:textId="77777777">
                                  <w:pPr>
                                    <w:rPr>
                                      <w:b/>
                                      <w:color w:val="FFFFFF"/>
                                      <w:lang w:val="en-US"/>
                                    </w:rPr>
                                  </w:pPr>
                                  <w:r>
                                    <w:rPr>
                                      <w:b/>
                                      <w:color w:val="FFFFFF"/>
                                      <w:lang w:val="en-US"/>
                                    </w:rPr>
                                    <w:t>0</w:t>
                                  </w:r>
                                </w:p>
                              </w:txbxContent>
                            </wps:txbx>
                            <wps:bodyPr rot="0" vert="horz" wrap="square" anchor="t" anchorCtr="0" upright="1"/>
                          </wps:wsp>
                        </wpg:grpSp>
                      </wpg:grpSp>
                    </wpg:wgp>
                  </a:graphicData>
                </a:graphic>
              </wp:inline>
            </w:drawing>
          </mc:Choice>
          <mc:Fallback>
            <w:pict>
              <v:group id="Group 321" o:spid="_x0000_i1147" style="width:492.75pt;height:59.25pt;mso-position-horizontal-relative:char;mso-position-vertical-relative:line" coordorigin="607,585" coordsize="62585,6787">
                <v:group id="Group 322" o:spid="_x0000_s1148" style="width:19687;height:6787;left:607;position:absolute;top:585" coordorigin="1109,511" coordsize="19717,6579">
                  <v:shape id="Rectangle 73" o:spid="_x0000_s1149" type="#_x0000_t176" style="width:17291;height:4592;flip:x;left:3535;mso-wrap-style:square;position:absolute;top:2498;visibility:visible;v-text-anchor:middle" strokecolor="#92d050" strokeweight="2pt">
                    <v:textbox>
                      <w:txbxContent>
                        <w:p w:rsidR="00B10C74" w:rsidRPr="00C400C3" w:rsidP="00041C94" w14:paraId="520EB319" w14:textId="77777777">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50" style="width:5921;height:5080;left:1109;mso-wrap-style:square;position:absolute;top:511;visibility:visible;v-text-anchor:middle" coordsize="647700,647700" o:spt="100" adj="-11796480,,5400" path="m1,247399l247401,247400l323850,l400299,247400l647699,247399,447547,400299l524000,647698l323850,494795,123700,647698,200153,400299,1,247399xe" fillcolor="#92d050" strokecolor="#92d050">
                    <v:stroke joinstyle="miter"/>
                    <v:shadow on="t" color="black" opacity="22936f" origin=",0.5" offset="0,1.81pt"/>
                    <v:formulas/>
                    <v:path arrowok="t" o:connecttype="custom" o:connectlocs="1,194016;226163,194017;296049,0;365935,194017;592097,194016;409127,313924;479017,507940;296049,388030;113081,507940;182971,313924;1,194016" o:connectangles="0,0,0,0,0,0,0,0,0,0,0" textboxrect="0,0,647700,647700"/>
                    <v:textbox>
                      <w:txbxContent>
                        <w:p w:rsidR="00B10C74" w:rsidRPr="00CD1D55" w:rsidP="00041C94" w14:paraId="7E0FD0F2" w14:textId="77777777">
                          <w:pPr>
                            <w:spacing w:before="320"/>
                            <w:jc w:val="center"/>
                            <w:rPr>
                              <w:b/>
                              <w:color w:val="FFFFFF"/>
                              <w:lang w:val="en-US"/>
                            </w:rPr>
                          </w:pPr>
                          <w:r>
                            <w:rPr>
                              <w:b/>
                              <w:color w:val="FFFFFF"/>
                              <w:lang w:val="en-US"/>
                            </w:rPr>
                            <w:t>2</w:t>
                          </w:r>
                        </w:p>
                      </w:txbxContent>
                    </v:textbox>
                  </v:shape>
                </v:group>
                <v:group id="Group 325" o:spid="_x0000_s1151" style="width:19410;height:6058;left:22155;position:absolute;top:1238" coordorigin="1211,373" coordsize="19443,6072">
                  <v:roundrect id="Rectangle 67" o:spid="_x0000_s1152" style="width:17290;height:4899;flip:x;left:3364;mso-wrap-style:square;position:absolute;top:1547;visibility:visible;v-text-anchor:middle" arcsize="10923f" strokecolor="#4f81bd" strokeweight="2pt">
                    <v:stroke joinstyle="miter"/>
                    <v:textbox>
                      <w:txbxContent>
                        <w:p w:rsidR="00B10C74" w:rsidRPr="00672A2D" w:rsidP="00041C94" w14:paraId="71590013"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53" style="width:4192;height:4311;left:1211;mso-wrap-style:square;position:absolute;top:373;visibility:visible;v-text-anchor:middle" fillcolor="#0070c0" strokecolor="#4a7ebb">
                    <v:shadow on="t" color="black" opacity="22936f" origin=",0.5" offset="0,1.81pt"/>
                    <v:textbox>
                      <w:txbxContent>
                        <w:p w:rsidR="00B10C74" w:rsidRPr="00770FF6" w:rsidP="00041C94" w14:paraId="3F3C25E2" w14:textId="77777777">
                          <w:pPr>
                            <w:spacing w:before="60"/>
                            <w:jc w:val="center"/>
                            <w:rPr>
                              <w:b/>
                              <w:color w:val="FFFFFF"/>
                              <w:lang w:val="en-US"/>
                            </w:rPr>
                          </w:pPr>
                          <w:r>
                            <w:rPr>
                              <w:b/>
                              <w:color w:val="FFFFFF"/>
                              <w:lang w:val="en-US"/>
                            </w:rPr>
                            <w:t>0</w:t>
                          </w:r>
                        </w:p>
                      </w:txbxContent>
                    </v:textbox>
                  </v:oval>
                </v:group>
                <v:group id="Group 328" o:spid="_x0000_s1154" style="width:19650;height:6711;left:43542;position:absolute;top:585" coordorigin="808,-451" coordsize="19673,6369">
                  <v:roundrect id="Rectangle 76" o:spid="_x0000_s1155" style="width:17291;height:4647;flip:x;left:3190;mso-wrap-style:square;position:absolute;top:1271;visibility:visible;v-text-anchor:middle" arcsize="10923f" strokecolor="#c00000" strokeweight="2pt">
                    <v:stroke joinstyle="miter"/>
                    <v:textbox>
                      <w:txbxContent>
                        <w:p w:rsidR="00B10C74" w:rsidRPr="00C400C3" w:rsidP="00041C94" w14:paraId="10B09F28" w14:textId="77777777">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156" style="width:5080;height:4973;left:808;position:absolute;top:-451" coordorigin="808,-451" coordsize="5080,4973">
                    <v:shape id="Isosceles Triangle 83" o:spid="_x0000_s1157" type="#_x0000_t5" style="width:5080;height:3928;left:808;mso-wrap-style:square;position:absolute;top:-451;visibility:visible;v-text-anchor:top" adj="10504" fillcolor="#c00000" strokecolor="red">
                      <v:shadow on="t" color="black" opacity="22936f" origin=",0.5" offset="0,1.81pt"/>
                      <v:textbox>
                        <w:txbxContent>
                          <w:p w:rsidR="00B10C74" w:rsidRPr="00AB433C" w:rsidP="00041C94" w14:paraId="38C5D6F5" w14:textId="77777777">
                            <w:pPr>
                              <w:rPr>
                                <w:b/>
                                <w:color w:val="FFFFFF"/>
                              </w:rPr>
                            </w:pPr>
                          </w:p>
                          <w:p w:rsidR="00B10C74" w:rsidRPr="00AB433C" w:rsidP="00041C94" w14:paraId="18D43CDD" w14:textId="77777777">
                            <w:pPr>
                              <w:rPr>
                                <w:b/>
                                <w:color w:val="FFFFFF"/>
                              </w:rPr>
                            </w:pPr>
                          </w:p>
                        </w:txbxContent>
                      </v:textbox>
                    </v:shape>
                    <v:shape id="Text Box 110" o:spid="_x0000_s1158" type="#_x0000_t202" style="width:2585;height:3394;left:1913;mso-wrap-style:square;position:absolute;top:1128;visibility:visible;v-text-anchor:top" filled="f" stroked="f" strokeweight="0.5pt">
                      <v:textbox>
                        <w:txbxContent>
                          <w:p w:rsidR="00B10C74" w:rsidRPr="00B0312C" w:rsidP="00041C94" w14:paraId="34685528" w14:textId="77777777">
                            <w:pPr>
                              <w:rPr>
                                <w:b/>
                                <w:color w:val="FFFFFF"/>
                                <w:lang w:val="en-US"/>
                              </w:rPr>
                            </w:pPr>
                            <w:r>
                              <w:rPr>
                                <w:b/>
                                <w:color w:val="FFFFFF"/>
                                <w:lang w:val="en-US"/>
                              </w:rPr>
                              <w:t>0</w:t>
                            </w:r>
                          </w:p>
                        </w:txbxContent>
                      </v:textbox>
                    </v:shape>
                  </v:group>
                </v:group>
                <w10:wrap type="none"/>
                <w10:anchorlock/>
              </v:group>
            </w:pict>
          </mc:Fallback>
        </mc:AlternateContent>
      </w:r>
    </w:p>
    <w:p w:rsidR="00041C94" w:rsidRPr="001E1416" w:rsidP="00887AE6" w14:paraId="56608A0D" w14:textId="0A5E8FA7">
      <w:pPr>
        <w:pStyle w:val="ListParagraph"/>
        <w:numPr>
          <w:ilvl w:val="0"/>
          <w:numId w:val="1"/>
        </w:numPr>
        <w:spacing w:after="0" w:line="240" w:lineRule="auto"/>
        <w:ind w:left="567" w:hanging="567"/>
        <w:rPr>
          <w:rFonts w:eastAsia="Times New Roman" w:cstheme="minorHAnsi"/>
          <w:lang w:eastAsia="en-GB"/>
        </w:rPr>
      </w:pPr>
      <w:r w:rsidRPr="001E1416">
        <w:rPr>
          <w:rFonts w:cstheme="minorHAnsi"/>
          <w:bCs/>
          <w:iCs/>
        </w:rPr>
        <w:t>At the end of quarter</w:t>
      </w:r>
      <w:r w:rsidR="00A92577">
        <w:rPr>
          <w:rFonts w:cstheme="minorHAnsi"/>
          <w:bCs/>
          <w:iCs/>
        </w:rPr>
        <w:t xml:space="preserve"> two</w:t>
      </w:r>
      <w:r w:rsidR="00447A6C">
        <w:rPr>
          <w:rFonts w:cstheme="minorHAnsi"/>
          <w:bCs/>
          <w:iCs/>
        </w:rPr>
        <w:t xml:space="preserve">, </w:t>
      </w:r>
      <w:r w:rsidRPr="00627E92" w:rsidR="00627E92">
        <w:rPr>
          <w:rFonts w:cstheme="minorHAnsi"/>
          <w:bCs/>
          <w:iCs/>
        </w:rPr>
        <w:t>four</w:t>
      </w:r>
      <w:r w:rsidRPr="00627E92" w:rsidR="00447A6C">
        <w:rPr>
          <w:rFonts w:cstheme="minorHAnsi"/>
          <w:bCs/>
          <w:iCs/>
        </w:rPr>
        <w:t xml:space="preserve"> </w:t>
      </w:r>
      <w:r>
        <w:rPr>
          <w:rFonts w:cstheme="minorHAnsi"/>
          <w:bCs/>
          <w:iCs/>
        </w:rPr>
        <w:t xml:space="preserve">of the </w:t>
      </w:r>
      <w:r w:rsidR="00447A6C">
        <w:rPr>
          <w:rFonts w:cstheme="minorHAnsi"/>
          <w:bCs/>
          <w:iCs/>
        </w:rPr>
        <w:t>eight</w:t>
      </w:r>
      <w:r>
        <w:rPr>
          <w:rFonts w:cstheme="minorHAnsi"/>
          <w:bCs/>
          <w:iCs/>
        </w:rPr>
        <w:t xml:space="preserve"> </w:t>
      </w:r>
      <w:r w:rsidRPr="001E1416">
        <w:rPr>
          <w:rFonts w:cstheme="minorHAnsi"/>
          <w:bCs/>
          <w:iCs/>
        </w:rPr>
        <w:t>corporate performance indicators under this priority</w:t>
      </w:r>
      <w:r>
        <w:rPr>
          <w:rFonts w:cstheme="minorHAnsi"/>
          <w:bCs/>
          <w:iCs/>
        </w:rPr>
        <w:t xml:space="preserve"> are due to be reported</w:t>
      </w:r>
      <w:r w:rsidRPr="001E1416">
        <w:rPr>
          <w:rFonts w:cstheme="minorHAnsi"/>
          <w:bCs/>
          <w:iCs/>
        </w:rPr>
        <w:t>.</w:t>
      </w:r>
    </w:p>
    <w:p w:rsidR="00041C94" w:rsidRPr="001E1416" w:rsidP="00887AE6" w14:paraId="509CF348" w14:textId="77777777">
      <w:pPr>
        <w:pStyle w:val="ListParagraph"/>
        <w:spacing w:after="0" w:line="240" w:lineRule="auto"/>
        <w:ind w:left="567" w:hanging="567"/>
        <w:rPr>
          <w:rFonts w:eastAsia="Times New Roman" w:cstheme="minorHAnsi"/>
          <w:lang w:eastAsia="en-GB"/>
        </w:rPr>
      </w:pPr>
    </w:p>
    <w:p w:rsidR="00041C94" w:rsidRPr="00DC66C7" w:rsidP="00887AE6" w14:paraId="302DF3D7" w14:textId="0A08E1AE">
      <w:pPr>
        <w:pStyle w:val="ListParagraph"/>
        <w:numPr>
          <w:ilvl w:val="0"/>
          <w:numId w:val="1"/>
        </w:numPr>
        <w:spacing w:after="0" w:line="240" w:lineRule="auto"/>
        <w:ind w:left="567" w:hanging="567"/>
        <w:rPr>
          <w:rFonts w:eastAsia="Times New Roman" w:cstheme="minorHAnsi"/>
          <w:lang w:eastAsia="en-GB"/>
        </w:rPr>
      </w:pPr>
      <w:r>
        <w:rPr>
          <w:rFonts w:cstheme="minorHAnsi"/>
          <w:bCs/>
          <w:iCs/>
        </w:rPr>
        <w:t>Two</w:t>
      </w:r>
      <w:r w:rsidRPr="00627E92" w:rsidR="0018682D">
        <w:rPr>
          <w:rFonts w:cstheme="minorHAnsi"/>
          <w:bCs/>
          <w:iCs/>
        </w:rPr>
        <w:t xml:space="preserve"> </w:t>
      </w:r>
      <w:r w:rsidRPr="001E1416" w:rsidR="0018682D">
        <w:rPr>
          <w:rFonts w:cstheme="minorHAnsi"/>
          <w:bCs/>
          <w:iCs/>
        </w:rPr>
        <w:t>indicator</w:t>
      </w:r>
      <w:r>
        <w:rPr>
          <w:rFonts w:cstheme="minorHAnsi"/>
          <w:bCs/>
          <w:iCs/>
        </w:rPr>
        <w:t>s</w:t>
      </w:r>
      <w:r w:rsidR="0018682D">
        <w:rPr>
          <w:rFonts w:cstheme="minorHAnsi"/>
          <w:bCs/>
          <w:iCs/>
        </w:rPr>
        <w:t xml:space="preserve"> </w:t>
      </w:r>
      <w:r>
        <w:rPr>
          <w:rFonts w:cstheme="minorHAnsi"/>
          <w:bCs/>
          <w:iCs/>
        </w:rPr>
        <w:t xml:space="preserve">are </w:t>
      </w:r>
      <w:r w:rsidRPr="001E1416" w:rsidR="0018682D">
        <w:rPr>
          <w:rFonts w:cstheme="minorHAnsi"/>
          <w:bCs/>
          <w:iCs/>
        </w:rPr>
        <w:t>performing on or better than target:</w:t>
      </w:r>
    </w:p>
    <w:p w:rsidR="00041C94" w:rsidRPr="001E1416" w:rsidP="00DC66C7" w14:paraId="6DF03B0C" w14:textId="77777777">
      <w:pPr>
        <w:pStyle w:val="ListParagraph"/>
        <w:spacing w:after="0" w:line="240" w:lineRule="auto"/>
        <w:ind w:left="360"/>
        <w:rPr>
          <w:rFonts w:eastAsia="Times New Roman" w:cstheme="minorHAnsi"/>
          <w:lang w:eastAsia="en-GB"/>
        </w:rPr>
      </w:pPr>
    </w:p>
    <w:p w:rsidR="00041C94" w:rsidP="00DC66C7" w14:paraId="34162130" w14:textId="71CD3668">
      <w:pPr>
        <w:pStyle w:val="ListParagraph"/>
        <w:numPr>
          <w:ilvl w:val="0"/>
          <w:numId w:val="20"/>
        </w:numPr>
        <w:spacing w:after="0" w:line="240" w:lineRule="auto"/>
        <w:ind w:left="993"/>
        <w:rPr>
          <w:rFonts w:eastAsia="Calibri" w:cs="Times New Roman"/>
        </w:rPr>
      </w:pPr>
      <w:r w:rsidRPr="00A62E57">
        <w:rPr>
          <w:rFonts w:eastAsia="Calibri" w:cs="Times New Roman"/>
        </w:rPr>
        <w:t>The number of individuals who complete a health check (screening) by a member of the Active Health Team</w:t>
      </w:r>
      <w:r>
        <w:rPr>
          <w:rFonts w:eastAsia="Calibri" w:cs="Times New Roman"/>
        </w:rPr>
        <w:t>.</w:t>
      </w:r>
    </w:p>
    <w:p w:rsidR="00627E92" w:rsidP="00DC66C7" w14:paraId="68AD334F" w14:textId="52DFD963">
      <w:pPr>
        <w:pStyle w:val="ListParagraph"/>
        <w:numPr>
          <w:ilvl w:val="0"/>
          <w:numId w:val="20"/>
        </w:numPr>
        <w:spacing w:after="0" w:line="240" w:lineRule="auto"/>
        <w:ind w:left="993"/>
        <w:rPr>
          <w:rFonts w:eastAsia="Calibri" w:cs="Times New Roman"/>
        </w:rPr>
      </w:pPr>
      <w:r w:rsidRPr="000C6BB8">
        <w:t>Number of affordable homes delivered</w:t>
      </w:r>
    </w:p>
    <w:p w:rsidR="00447A6C" w:rsidP="00447A6C" w14:paraId="50040295" w14:textId="77777777">
      <w:pPr>
        <w:spacing w:after="0"/>
        <w:rPr>
          <w:rFonts w:ascii="Arial" w:eastAsia="Calibri" w:hAnsi="Arial" w:cs="Arial"/>
        </w:rPr>
      </w:pPr>
    </w:p>
    <w:p w:rsidR="00447A6C" w:rsidRPr="00DC66C7" w:rsidP="00887AE6" w14:paraId="44E3E74B" w14:textId="77777777">
      <w:pPr>
        <w:pStyle w:val="ListParagraph"/>
        <w:numPr>
          <w:ilvl w:val="0"/>
          <w:numId w:val="1"/>
        </w:numPr>
        <w:spacing w:after="0"/>
        <w:ind w:left="567" w:hanging="567"/>
        <w:rPr>
          <w:rFonts w:ascii="Arial" w:eastAsia="Calibri" w:hAnsi="Arial" w:cs="Arial"/>
        </w:rPr>
      </w:pPr>
      <w:r w:rsidRPr="00627E92">
        <w:rPr>
          <w:rFonts w:ascii="Arial" w:eastAsia="Calibri" w:hAnsi="Arial" w:cs="Arial"/>
        </w:rPr>
        <w:t xml:space="preserve">One </w:t>
      </w:r>
      <w:r>
        <w:rPr>
          <w:rFonts w:ascii="Arial" w:eastAsia="Calibri" w:hAnsi="Arial" w:cs="Arial"/>
        </w:rPr>
        <w:t>m</w:t>
      </w:r>
      <w:r w:rsidRPr="00DC66C7">
        <w:rPr>
          <w:rFonts w:ascii="Arial" w:eastAsia="Calibri" w:hAnsi="Arial" w:cs="Arial"/>
        </w:rPr>
        <w:t xml:space="preserve">easure </w:t>
      </w:r>
      <w:r>
        <w:rPr>
          <w:rFonts w:ascii="Arial" w:eastAsia="Calibri" w:hAnsi="Arial" w:cs="Arial"/>
        </w:rPr>
        <w:t xml:space="preserve">is </w:t>
      </w:r>
      <w:r w:rsidRPr="00DC66C7">
        <w:rPr>
          <w:rFonts w:ascii="Arial" w:eastAsia="Calibri" w:hAnsi="Arial" w:cs="Arial"/>
        </w:rPr>
        <w:t xml:space="preserve">being </w:t>
      </w:r>
      <w:r w:rsidRPr="00DC66C7" w:rsidR="004345C1">
        <w:rPr>
          <w:rFonts w:ascii="Arial" w:eastAsia="Calibri" w:hAnsi="Arial" w:cs="Arial"/>
        </w:rPr>
        <w:t>baselined:</w:t>
      </w:r>
      <w:r w:rsidRPr="00DC66C7">
        <w:rPr>
          <w:rFonts w:ascii="Arial" w:eastAsia="Calibri" w:hAnsi="Arial" w:cs="Arial"/>
        </w:rPr>
        <w:t xml:space="preserve"> </w:t>
      </w:r>
    </w:p>
    <w:p w:rsidR="00447A6C" w:rsidP="00447A6C" w14:paraId="762D07ED" w14:textId="77777777">
      <w:pPr>
        <w:pStyle w:val="ListParagraph"/>
        <w:numPr>
          <w:ilvl w:val="0"/>
          <w:numId w:val="6"/>
        </w:numPr>
        <w:spacing w:after="0" w:line="240" w:lineRule="auto"/>
        <w:ind w:left="993"/>
        <w:rPr>
          <w:rFonts w:eastAsia="Calibri" w:cs="Times New Roman"/>
        </w:rPr>
      </w:pPr>
      <w:r w:rsidRPr="00405C25">
        <w:rPr>
          <w:rFonts w:eastAsia="Calibri" w:cs="Times New Roman"/>
        </w:rPr>
        <w:t xml:space="preserve">The number of wellbeing sessions delivered by the Active </w:t>
      </w:r>
      <w:r w:rsidRPr="00405C25">
        <w:rPr>
          <w:rFonts w:eastAsia="Calibri" w:cs="Times New Roman"/>
        </w:rPr>
        <w:t>Health Team</w:t>
      </w:r>
      <w:r w:rsidR="00E576BE">
        <w:rPr>
          <w:rFonts w:eastAsia="Calibri" w:cs="Times New Roman"/>
        </w:rPr>
        <w:t>.</w:t>
      </w:r>
    </w:p>
    <w:p w:rsidR="00447A6C" w:rsidRPr="00313944" w:rsidP="00447A6C" w14:paraId="38960D94" w14:textId="77777777">
      <w:pPr>
        <w:pStyle w:val="ListParagraph"/>
        <w:spacing w:after="0" w:line="240" w:lineRule="auto"/>
        <w:ind w:left="993"/>
        <w:rPr>
          <w:rFonts w:eastAsia="Calibri" w:cs="Times New Roman"/>
        </w:rPr>
      </w:pPr>
    </w:p>
    <w:p w:rsidR="003A4818" w:rsidP="00887AE6" w14:paraId="6F93B19E" w14:textId="34A34865">
      <w:pPr>
        <w:pStyle w:val="ListParagraph"/>
        <w:numPr>
          <w:ilvl w:val="0"/>
          <w:numId w:val="1"/>
        </w:numPr>
        <w:spacing w:after="0" w:line="240" w:lineRule="auto"/>
        <w:ind w:left="567" w:hanging="567"/>
        <w:rPr>
          <w:rFonts w:eastAsia="Calibri" w:cs="Times New Roman"/>
        </w:rPr>
      </w:pPr>
      <w:r w:rsidRPr="003C6B0E">
        <w:rPr>
          <w:rFonts w:eastAsia="Calibri" w:cs="Times New Roman"/>
        </w:rPr>
        <w:t>The following</w:t>
      </w:r>
      <w:r w:rsidR="004C27A8">
        <w:rPr>
          <w:rFonts w:eastAsia="Calibri" w:cs="Times New Roman"/>
        </w:rPr>
        <w:t xml:space="preserve"> </w:t>
      </w:r>
      <w:r w:rsidRPr="003C6B0E">
        <w:rPr>
          <w:rFonts w:eastAsia="Calibri" w:cs="Times New Roman"/>
        </w:rPr>
        <w:t>measure</w:t>
      </w:r>
      <w:r w:rsidR="00041C94">
        <w:rPr>
          <w:rFonts w:eastAsia="Calibri" w:cs="Times New Roman"/>
        </w:rPr>
        <w:t xml:space="preserve"> is</w:t>
      </w:r>
      <w:r w:rsidR="00684173">
        <w:rPr>
          <w:rFonts w:eastAsia="Calibri" w:cs="Times New Roman"/>
        </w:rPr>
        <w:t xml:space="preserve"> monitored against trend with an update provided below: </w:t>
      </w:r>
    </w:p>
    <w:p w:rsidR="00041C94" w:rsidP="003C6B0E" w14:paraId="1011E5D9" w14:textId="77777777">
      <w:pPr>
        <w:pStyle w:val="ListParagraph"/>
        <w:spacing w:after="0" w:line="240" w:lineRule="auto"/>
        <w:ind w:left="360"/>
        <w:rPr>
          <w:rFonts w:eastAsia="Calibri" w:cs="Times New Roman"/>
        </w:rPr>
      </w:pPr>
    </w:p>
    <w:p w:rsidR="00821210" w:rsidP="00821210" w14:paraId="19AB7B98" w14:textId="77777777">
      <w:pPr>
        <w:pStyle w:val="ListParagraph"/>
        <w:numPr>
          <w:ilvl w:val="0"/>
          <w:numId w:val="5"/>
        </w:numPr>
        <w:spacing w:after="0" w:line="240" w:lineRule="auto"/>
        <w:ind w:left="993"/>
        <w:rPr>
          <w:rFonts w:eastAsia="Calibri" w:cs="Times New Roman"/>
        </w:rPr>
      </w:pPr>
      <w:r w:rsidRPr="00313944">
        <w:rPr>
          <w:rFonts w:eastAsia="Calibri" w:cs="Times New Roman"/>
        </w:rPr>
        <w:t>The number of people who are prevented from becoming homeless or have had their homelessness relieved.</w:t>
      </w:r>
    </w:p>
    <w:p w:rsidR="00821210" w:rsidRPr="00313944" w:rsidP="00821210" w14:paraId="62B12DD0" w14:textId="77777777">
      <w:pPr>
        <w:pStyle w:val="ListParagraph"/>
        <w:spacing w:after="0" w:line="240" w:lineRule="auto"/>
        <w:ind w:left="993"/>
        <w:rPr>
          <w:rFonts w:eastAsia="Calibri" w:cs="Times New Roman"/>
        </w:rPr>
      </w:pPr>
    </w:p>
    <w:tbl>
      <w:tblPr>
        <w:tblW w:w="9865" w:type="dxa"/>
        <w:tblCellMar>
          <w:left w:w="0" w:type="dxa"/>
          <w:right w:w="0" w:type="dxa"/>
        </w:tblCellMar>
        <w:tblLook w:val="04A0"/>
      </w:tblPr>
      <w:tblGrid>
        <w:gridCol w:w="3109"/>
        <w:gridCol w:w="1689"/>
        <w:gridCol w:w="1689"/>
        <w:gridCol w:w="1689"/>
        <w:gridCol w:w="1689"/>
      </w:tblGrid>
      <w:tr w14:paraId="19B4ADC8" w14:textId="77777777" w:rsidTr="00022EBB">
        <w:tblPrEx>
          <w:tblW w:w="9865" w:type="dxa"/>
          <w:tblCellMar>
            <w:left w:w="0" w:type="dxa"/>
            <w:right w:w="0" w:type="dxa"/>
          </w:tblCellMar>
          <w:tblLook w:val="04A0"/>
        </w:tblPrEx>
        <w:trPr>
          <w:trHeight w:val="406"/>
          <w:tblHeader/>
        </w:trPr>
        <w:tc>
          <w:tcPr>
            <w:tcW w:w="3109"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rsidR="00821210" w:rsidP="00022EBB" w14:paraId="42377C39" w14:textId="77777777">
            <w:pPr>
              <w:spacing w:after="160" w:line="252" w:lineRule="auto"/>
              <w:contextualSpacing/>
              <w:rPr>
                <w:b/>
                <w:bCs/>
              </w:rPr>
            </w:pPr>
            <w:r>
              <w:rPr>
                <w:b/>
                <w:bCs/>
              </w:rPr>
              <w:t>Key Performance Indicator</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821210" w:rsidRPr="00227F92" w:rsidP="00022EBB" w14:paraId="65A5739E" w14:textId="77777777">
            <w:pPr>
              <w:spacing w:after="0" w:line="240" w:lineRule="auto"/>
              <w:jc w:val="center"/>
              <w:rPr>
                <w:b/>
                <w:bCs/>
                <w:color w:val="000000"/>
              </w:rPr>
            </w:pPr>
            <w:r>
              <w:rPr>
                <w:b/>
                <w:bCs/>
                <w:color w:val="000000"/>
              </w:rPr>
              <w:t>Polarity</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821210" w:rsidRPr="00227F92" w:rsidP="00022EBB" w14:paraId="1751573B" w14:textId="77777777">
            <w:pPr>
              <w:spacing w:after="0" w:line="240" w:lineRule="auto"/>
              <w:jc w:val="center"/>
              <w:rPr>
                <w:b/>
                <w:bCs/>
                <w:color w:val="000000"/>
              </w:rPr>
            </w:pPr>
            <w:r>
              <w:rPr>
                <w:b/>
                <w:bCs/>
                <w:color w:val="000000"/>
              </w:rPr>
              <w:t xml:space="preserve">Previous </w:t>
            </w:r>
            <w:r>
              <w:rPr>
                <w:b/>
                <w:bCs/>
                <w:color w:val="000000"/>
              </w:rPr>
              <w:t>Quarter</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821210" w:rsidP="00022EBB" w14:paraId="268C3C51" w14:textId="760C760D">
            <w:pPr>
              <w:spacing w:after="0" w:line="240" w:lineRule="auto"/>
              <w:jc w:val="center"/>
              <w:rPr>
                <w:b/>
                <w:bCs/>
              </w:rPr>
            </w:pPr>
            <w:r>
              <w:rPr>
                <w:b/>
                <w:bCs/>
                <w:color w:val="000000"/>
              </w:rPr>
              <w:t xml:space="preserve">Quarter </w:t>
            </w:r>
            <w:r w:rsidR="0064019C">
              <w:rPr>
                <w:b/>
                <w:bCs/>
                <w:color w:val="000000"/>
              </w:rPr>
              <w:t>2</w:t>
            </w:r>
          </w:p>
          <w:p w:rsidR="00821210" w:rsidRPr="00227F92" w:rsidP="00022EBB" w14:paraId="6CF2A6A5" w14:textId="77777777">
            <w:pPr>
              <w:spacing w:after="0" w:line="240" w:lineRule="auto"/>
              <w:jc w:val="center"/>
              <w:rPr>
                <w:b/>
                <w:bCs/>
                <w:color w:val="000000"/>
              </w:rPr>
            </w:pPr>
            <w:r>
              <w:rPr>
                <w:b/>
                <w:bCs/>
                <w:color w:val="000000"/>
              </w:rPr>
              <w:t>2022/23</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821210" w:rsidRPr="00227F92" w:rsidP="00022EBB" w14:paraId="33F00320" w14:textId="77777777">
            <w:pPr>
              <w:spacing w:after="0" w:line="240" w:lineRule="auto"/>
              <w:jc w:val="center"/>
              <w:rPr>
                <w:b/>
                <w:bCs/>
                <w:color w:val="000000"/>
              </w:rPr>
            </w:pPr>
            <w:r>
              <w:rPr>
                <w:b/>
                <w:bCs/>
                <w:color w:val="000000"/>
              </w:rPr>
              <w:t>Trend</w:t>
            </w:r>
          </w:p>
        </w:tc>
      </w:tr>
      <w:tr w14:paraId="7CB26120" w14:textId="77777777" w:rsidTr="00022EBB">
        <w:tblPrEx>
          <w:tblW w:w="9865" w:type="dxa"/>
          <w:tblCellMar>
            <w:left w:w="0" w:type="dxa"/>
            <w:right w:w="0" w:type="dxa"/>
          </w:tblCellMar>
          <w:tblLook w:val="04A0"/>
        </w:tblPrEx>
        <w:trPr>
          <w:trHeight w:val="834"/>
          <w:tblHeader/>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210" w:rsidRPr="00227F92" w:rsidP="00022EBB" w14:paraId="437B8C40" w14:textId="5A66C28D">
            <w:pPr>
              <w:spacing w:after="0" w:line="240" w:lineRule="auto"/>
            </w:pPr>
            <w:r w:rsidRPr="00227F92">
              <w:rPr>
                <w:rFonts w:eastAsia="Calibri" w:cs="Times New Roman"/>
              </w:rPr>
              <w:t>The number of people who are prevented from becoming homeless or have had their homelessness relieved</w:t>
            </w:r>
            <w:r w:rsidR="00D95517">
              <w:rPr>
                <w:rFonts w:eastAsia="Calibri" w:cs="Times New Roman"/>
              </w:rPr>
              <w:t xml:space="preserve"> (Cumulative)</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210" w:rsidP="00022EBB" w14:paraId="75C04EBC" w14:textId="77777777">
            <w:pPr>
              <w:spacing w:after="0" w:line="240" w:lineRule="auto"/>
              <w:jc w:val="center"/>
            </w:pPr>
            <w:r>
              <w:rPr>
                <w:rFonts w:eastAsia="Calibri" w:cs="Times New Roman"/>
              </w:rPr>
              <w:t>Bigger is better</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210" w:rsidP="00022EBB" w14:paraId="63D27744" w14:textId="77777777">
            <w:pPr>
              <w:spacing w:after="0" w:line="240" w:lineRule="auto"/>
              <w:jc w:val="center"/>
            </w:pPr>
            <w:r>
              <w:t>38</w:t>
            </w:r>
          </w:p>
          <w:p w:rsidR="009A15B6" w:rsidP="00022EBB" w14:paraId="33F12887" w14:textId="2442DFD0">
            <w:pPr>
              <w:spacing w:after="0" w:line="240" w:lineRule="auto"/>
              <w:jc w:val="center"/>
            </w:pPr>
            <w:r>
              <w:t>(Q1:2022/23)</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210" w:rsidP="00022EBB" w14:paraId="45AC9996" w14:textId="6B40A0D1">
            <w:pPr>
              <w:spacing w:after="0" w:line="240" w:lineRule="auto"/>
              <w:jc w:val="center"/>
              <w:rPr>
                <w:b/>
                <w:bCs/>
              </w:rPr>
            </w:pPr>
            <w:r>
              <w:rPr>
                <w:b/>
                <w:bCs/>
              </w:rPr>
              <w:t>95</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210" w:rsidP="00022EBB" w14:paraId="098CE178" w14:textId="7E9844C4">
            <w:pPr>
              <w:spacing w:after="0" w:line="240" w:lineRule="auto"/>
              <w:jc w:val="center"/>
            </w:pPr>
            <w:r w:rsidRPr="008576E2">
              <w:rPr>
                <w:rFonts w:eastAsia="Calibri" w:cstheme="minorHAnsi"/>
                <w:b/>
                <w:bCs/>
                <w:color w:val="FF0000"/>
                <w:sz w:val="20"/>
                <w:szCs w:val="20"/>
              </w:rPr>
              <w:t>Worse than Q2 2021/22</w:t>
            </w:r>
          </w:p>
        </w:tc>
      </w:tr>
      <w:tr w14:paraId="7ED384DC" w14:textId="77777777" w:rsidTr="00022EBB">
        <w:tblPrEx>
          <w:tblW w:w="9865" w:type="dxa"/>
          <w:tblCellMar>
            <w:left w:w="0" w:type="dxa"/>
            <w:right w:w="0" w:type="dxa"/>
          </w:tblCellMar>
          <w:tblLook w:val="04A0"/>
        </w:tblPrEx>
        <w:trPr>
          <w:trHeight w:val="834"/>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210" w:rsidRPr="00227F92" w:rsidP="00022EBB" w14:paraId="62451317" w14:textId="77777777">
            <w:pPr>
              <w:spacing w:after="0" w:line="240" w:lineRule="auto"/>
              <w:rPr>
                <w:rFonts w:eastAsia="Calibri" w:cs="Times New Roman"/>
                <w:b/>
                <w:bCs/>
              </w:rPr>
            </w:pPr>
            <w:r w:rsidRPr="00227F92">
              <w:rPr>
                <w:rFonts w:eastAsia="Calibri" w:cs="Times New Roman"/>
                <w:b/>
                <w:bCs/>
              </w:rPr>
              <w:t>Trend:</w:t>
            </w:r>
          </w:p>
        </w:tc>
        <w:tc>
          <w:tcPr>
            <w:tcW w:w="67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5517" w:rsidP="00D95517" w14:paraId="5A072FCE" w14:textId="0318BE6C">
            <w:pPr>
              <w:spacing w:after="0" w:line="240" w:lineRule="auto"/>
            </w:pPr>
            <w:r w:rsidRPr="00D95517">
              <w:t xml:space="preserve">There were 57 homelessness preventions </w:t>
            </w:r>
            <w:r>
              <w:t xml:space="preserve">in quarter two. The main contributing factors to the presentations received this period are: </w:t>
            </w:r>
          </w:p>
          <w:p w:rsidR="00D95517" w:rsidP="00D95517" w14:paraId="182C7690" w14:textId="7CCD203D">
            <w:pPr>
              <w:spacing w:after="0" w:line="240" w:lineRule="auto"/>
            </w:pPr>
          </w:p>
          <w:p w:rsidR="00D95517" w:rsidP="00853B1A" w14:paraId="645AD19F" w14:textId="0583102A">
            <w:pPr>
              <w:pStyle w:val="ListParagraph"/>
              <w:numPr>
                <w:ilvl w:val="0"/>
                <w:numId w:val="39"/>
              </w:numPr>
              <w:spacing w:after="0" w:line="240" w:lineRule="auto"/>
            </w:pPr>
            <w:r>
              <w:t>Family and friends not willing to accommodate individuals;</w:t>
            </w:r>
          </w:p>
          <w:p w:rsidR="00D95517" w:rsidRPr="00D95517" w:rsidP="00853B1A" w14:paraId="100FD5B5" w14:textId="45B5BDB5">
            <w:pPr>
              <w:pStyle w:val="ListParagraph"/>
              <w:numPr>
                <w:ilvl w:val="0"/>
                <w:numId w:val="39"/>
              </w:numPr>
              <w:spacing w:after="0" w:line="240" w:lineRule="auto"/>
            </w:pPr>
            <w:r w:rsidRPr="00853B1A">
              <w:t>The ending of assured shorthold tenancy in the private sector;</w:t>
            </w:r>
          </w:p>
          <w:p w:rsidR="00D95517" w:rsidRPr="00D95517" w:rsidP="00853B1A" w14:paraId="683BA61D" w14:textId="674DD9B9">
            <w:pPr>
              <w:pStyle w:val="ListParagraph"/>
              <w:numPr>
                <w:ilvl w:val="0"/>
                <w:numId w:val="39"/>
              </w:numPr>
              <w:spacing w:after="0" w:line="240" w:lineRule="auto"/>
            </w:pPr>
            <w:r>
              <w:t>Relationships breaking down / domestic violence.</w:t>
            </w:r>
          </w:p>
          <w:p w:rsidR="00D95517" w:rsidP="00022EBB" w14:paraId="050BA4E5" w14:textId="77777777">
            <w:pPr>
              <w:spacing w:after="0" w:line="240" w:lineRule="auto"/>
              <w:rPr>
                <w:highlight w:val="yellow"/>
              </w:rPr>
            </w:pPr>
          </w:p>
          <w:p w:rsidR="00821210" w:rsidP="00022EBB" w14:paraId="40B6DD43" w14:textId="5F4600FB">
            <w:pPr>
              <w:spacing w:after="0" w:line="240" w:lineRule="auto"/>
            </w:pPr>
            <w:r w:rsidRPr="00D95517">
              <w:t>The number of referrals from statutory bodies remains high fr</w:t>
            </w:r>
            <w:r w:rsidR="00853B1A">
              <w:t>o</w:t>
            </w:r>
            <w:r w:rsidRPr="00D95517">
              <w:t xml:space="preserve">m services such as probation, children social care and hospitals. These individuals tend to have complex needs and homelessness </w:t>
            </w:r>
            <w:r w:rsidR="00853B1A">
              <w:t>tends to be</w:t>
            </w:r>
            <w:r w:rsidRPr="00D95517">
              <w:t xml:space="preserve"> more</w:t>
            </w:r>
            <w:r w:rsidRPr="00D95517">
              <w:t xml:space="preserve"> difficult to resolve</w:t>
            </w:r>
            <w:r w:rsidR="00853B1A">
              <w:t>.</w:t>
            </w:r>
          </w:p>
          <w:p w:rsidR="00F40C08" w:rsidP="00022EBB" w14:paraId="49729636" w14:textId="4BF962B8">
            <w:pPr>
              <w:spacing w:after="0" w:line="240" w:lineRule="auto"/>
            </w:pPr>
          </w:p>
          <w:p w:rsidR="00821210" w:rsidRPr="0064019C" w:rsidP="00022EBB" w14:paraId="0BCDF154" w14:textId="23C588C0">
            <w:pPr>
              <w:spacing w:after="0" w:line="240" w:lineRule="auto"/>
              <w:rPr>
                <w:highlight w:val="yellow"/>
              </w:rPr>
            </w:pPr>
            <w:r>
              <w:t xml:space="preserve">There remains a shortfall </w:t>
            </w:r>
            <w:r w:rsidR="00853B1A">
              <w:t>in</w:t>
            </w:r>
            <w:r>
              <w:t xml:space="preserve"> access</w:t>
            </w:r>
            <w:r w:rsidR="00374026">
              <w:t xml:space="preserve"> to</w:t>
            </w:r>
            <w:r>
              <w:t xml:space="preserve"> suitable housing, </w:t>
            </w:r>
            <w:r w:rsidR="00374026">
              <w:t>with many private sector tenancies coming to an end as</w:t>
            </w:r>
            <w:r w:rsidR="00853B1A">
              <w:t xml:space="preserve"> a result of</w:t>
            </w:r>
            <w:r w:rsidR="00374026">
              <w:t xml:space="preserve"> private landlords opting to sell or re-let their properties, and the private rental market remains largely unaffordable for those presenting as homeless. </w:t>
            </w:r>
          </w:p>
          <w:p w:rsidR="00821210" w:rsidRPr="0064019C" w:rsidP="00022EBB" w14:paraId="508A5A75" w14:textId="77777777">
            <w:pPr>
              <w:spacing w:after="0" w:line="240" w:lineRule="auto"/>
              <w:rPr>
                <w:highlight w:val="yellow"/>
              </w:rPr>
            </w:pPr>
          </w:p>
          <w:p w:rsidR="00821210" w:rsidP="00022EBB" w14:paraId="353467B8" w14:textId="6C1BED10">
            <w:pPr>
              <w:spacing w:after="0" w:line="240" w:lineRule="auto"/>
              <w:rPr>
                <w:highlight w:val="yellow"/>
              </w:rPr>
            </w:pPr>
            <w:r w:rsidRPr="00F40C08">
              <w:t>These challenges reflect the situation nationally</w:t>
            </w:r>
            <w:r w:rsidR="00853B1A">
              <w:t>,</w:t>
            </w:r>
            <w:r w:rsidRPr="00F40C08">
              <w:t xml:space="preserve"> where councils are experiencing higher demand and higher numbers in temporary accommodation.</w:t>
            </w:r>
            <w:r w:rsidRPr="0064019C">
              <w:rPr>
                <w:highlight w:val="yellow"/>
              </w:rPr>
              <w:t xml:space="preserve"> </w:t>
            </w:r>
          </w:p>
          <w:p w:rsidR="00F40C08" w:rsidRPr="0064019C" w:rsidP="00022EBB" w14:paraId="66BD14CA" w14:textId="54434ED7">
            <w:pPr>
              <w:spacing w:after="0" w:line="240" w:lineRule="auto"/>
              <w:rPr>
                <w:highlight w:val="yellow"/>
              </w:rPr>
            </w:pPr>
          </w:p>
        </w:tc>
      </w:tr>
      <w:tr w14:paraId="288BEE86" w14:textId="77777777" w:rsidTr="00022EBB">
        <w:tblPrEx>
          <w:tblW w:w="9865" w:type="dxa"/>
          <w:tblCellMar>
            <w:left w:w="0" w:type="dxa"/>
            <w:right w:w="0" w:type="dxa"/>
          </w:tblCellMar>
          <w:tblLook w:val="04A0"/>
        </w:tblPrEx>
        <w:trPr>
          <w:trHeight w:val="834"/>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210" w:rsidRPr="00227F92" w:rsidP="00022EBB" w14:paraId="139CF951" w14:textId="77777777">
            <w:pPr>
              <w:spacing w:after="0" w:line="240" w:lineRule="auto"/>
              <w:rPr>
                <w:rFonts w:eastAsia="Calibri" w:cs="Times New Roman"/>
              </w:rPr>
            </w:pPr>
            <w:r w:rsidRPr="00227F92">
              <w:rPr>
                <w:rFonts w:eastAsia="Calibri" w:cs="Times New Roman"/>
                <w:b/>
                <w:bCs/>
              </w:rPr>
              <w:t xml:space="preserve">Action </w:t>
            </w:r>
            <w:r>
              <w:rPr>
                <w:rFonts w:eastAsia="Calibri" w:cs="Times New Roman"/>
                <w:b/>
                <w:bCs/>
              </w:rPr>
              <w:t>Taken:</w:t>
            </w:r>
          </w:p>
        </w:tc>
        <w:tc>
          <w:tcPr>
            <w:tcW w:w="67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0C08" w:rsidRPr="00F40C08" w:rsidP="00022EBB" w14:paraId="3C669267" w14:textId="7678A757">
            <w:pPr>
              <w:spacing w:after="0" w:line="240" w:lineRule="auto"/>
            </w:pPr>
            <w:r w:rsidRPr="00F40C08">
              <w:t>The number of recorded allocations for social housing</w:t>
            </w:r>
            <w:r>
              <w:t xml:space="preserve"> from registered providers</w:t>
            </w:r>
            <w:r w:rsidRPr="00F40C08">
              <w:t xml:space="preserve"> has increased in quarter two, however these fall short of the num</w:t>
            </w:r>
            <w:r w:rsidRPr="00F40C08">
              <w:t>bers that are presenting (208 in quarter two) into the service. The council continues to work with Lancashire County Council to deliver accommodation for people with complex needs.</w:t>
            </w:r>
          </w:p>
          <w:p w:rsidR="00F40C08" w:rsidP="00022EBB" w14:paraId="3A410B43" w14:textId="77777777">
            <w:pPr>
              <w:spacing w:after="0" w:line="240" w:lineRule="auto"/>
              <w:rPr>
                <w:highlight w:val="yellow"/>
              </w:rPr>
            </w:pPr>
          </w:p>
          <w:p w:rsidR="00B91CC1" w:rsidRPr="00B91CC1" w:rsidP="00374026" w14:paraId="294A758A" w14:textId="43C44685">
            <w:pPr>
              <w:spacing w:after="0" w:line="240" w:lineRule="auto"/>
              <w:rPr>
                <w:highlight w:val="yellow"/>
              </w:rPr>
            </w:pPr>
            <w:r>
              <w:t>Additionally, w</w:t>
            </w:r>
            <w:r w:rsidRPr="00F40C08">
              <w:t>ork is on</w:t>
            </w:r>
            <w:r w:rsidR="00853B1A">
              <w:t>-</w:t>
            </w:r>
            <w:r w:rsidRPr="00F40C08">
              <w:t>going with e</w:t>
            </w:r>
            <w:r w:rsidRPr="00F40C08" w:rsidR="0018682D">
              <w:t xml:space="preserve">xternal consultants </w:t>
            </w:r>
            <w:r>
              <w:t xml:space="preserve">to </w:t>
            </w:r>
            <w:r w:rsidRPr="00F40C08" w:rsidR="0018682D">
              <w:t>conduct a full-service review, and a review of the allocations policy</w:t>
            </w:r>
            <w:r>
              <w:t xml:space="preserve">. </w:t>
            </w:r>
            <w:r w:rsidRPr="00B91CC1" w:rsidR="0018682D">
              <w:t>The council continues to provide floating support to individuals with issues not linked to accommodation such as budgeting and life skills to prevent tenancy failure and homelessness.</w:t>
            </w:r>
            <w:r>
              <w:t xml:space="preserve"> The select move</w:t>
            </w:r>
            <w:r>
              <w:t xml:space="preserve"> co-ordinator role is now established and will provide insight into the allocation of social housing across the borough. </w:t>
            </w:r>
          </w:p>
        </w:tc>
      </w:tr>
    </w:tbl>
    <w:p w:rsidR="00AD596E" w:rsidRPr="001E73E2" w:rsidP="001E73E2" w14:paraId="0CEC58E4" w14:textId="77777777">
      <w:pPr>
        <w:pStyle w:val="Heading2"/>
        <w:rPr>
          <w:rFonts w:asciiTheme="majorHAnsi" w:hAnsiTheme="majorHAnsi" w:cstheme="majorHAnsi"/>
          <w:sz w:val="22"/>
          <w:szCs w:val="22"/>
        </w:rPr>
      </w:pPr>
      <w:r w:rsidRPr="001E73E2">
        <w:rPr>
          <w:rFonts w:asciiTheme="majorHAnsi" w:hAnsiTheme="majorHAnsi" w:cstheme="majorHAnsi"/>
          <w:sz w:val="22"/>
          <w:szCs w:val="22"/>
        </w:rPr>
        <w:t xml:space="preserve">Key organisational performance measures </w:t>
      </w:r>
    </w:p>
    <w:p w:rsidR="00873D04" w:rsidP="00887AE6" w14:paraId="621AD7BA" w14:textId="46016FB0">
      <w:pPr>
        <w:pStyle w:val="ListParagraph"/>
        <w:numPr>
          <w:ilvl w:val="0"/>
          <w:numId w:val="1"/>
        </w:numPr>
        <w:spacing w:after="0" w:line="240" w:lineRule="auto"/>
        <w:ind w:left="567" w:hanging="567"/>
        <w:rPr>
          <w:rFonts w:ascii="Arial" w:eastAsia="Calibri" w:hAnsi="Arial" w:cs="Times New Roman"/>
        </w:rPr>
      </w:pPr>
      <w:r w:rsidRPr="00873D04">
        <w:rPr>
          <w:rFonts w:ascii="Arial" w:eastAsia="Calibri" w:hAnsi="Arial" w:cs="Arial"/>
        </w:rPr>
        <w:t xml:space="preserve">At the end </w:t>
      </w:r>
      <w:r>
        <w:rPr>
          <w:rFonts w:ascii="Arial" w:eastAsia="Calibri" w:hAnsi="Arial" w:cs="Arial"/>
        </w:rPr>
        <w:t xml:space="preserve">of quarter </w:t>
      </w:r>
      <w:r w:rsidR="0064019C">
        <w:rPr>
          <w:rFonts w:ascii="Arial" w:eastAsia="Calibri" w:hAnsi="Arial" w:cs="Arial"/>
        </w:rPr>
        <w:t>two</w:t>
      </w:r>
      <w:r>
        <w:rPr>
          <w:rFonts w:ascii="Arial" w:eastAsia="Calibri" w:hAnsi="Arial" w:cs="Arial"/>
        </w:rPr>
        <w:t>, there are 1</w:t>
      </w:r>
      <w:r w:rsidR="00A62E57">
        <w:rPr>
          <w:rFonts w:ascii="Arial" w:eastAsia="Calibri" w:hAnsi="Arial" w:cs="Arial"/>
        </w:rPr>
        <w:t>1</w:t>
      </w:r>
      <w:r>
        <w:rPr>
          <w:rFonts w:ascii="Arial" w:eastAsia="Calibri" w:hAnsi="Arial" w:cs="Arial"/>
        </w:rPr>
        <w:t xml:space="preserve"> </w:t>
      </w:r>
      <w:r w:rsidR="00C71279">
        <w:rPr>
          <w:rFonts w:ascii="Arial" w:eastAsia="Calibri" w:hAnsi="Arial" w:cs="Arial"/>
        </w:rPr>
        <w:t xml:space="preserve">key </w:t>
      </w:r>
      <w:r w:rsidRPr="00873D04" w:rsidR="00C71279">
        <w:rPr>
          <w:rFonts w:ascii="Arial" w:eastAsia="Calibri" w:hAnsi="Arial" w:cs="Times New Roman"/>
        </w:rPr>
        <w:t>organisational</w:t>
      </w:r>
      <w:r w:rsidRPr="00201F8E">
        <w:rPr>
          <w:rFonts w:ascii="Arial" w:eastAsia="Calibri" w:hAnsi="Arial" w:cs="Times New Roman"/>
        </w:rPr>
        <w:t xml:space="preserve"> performance measures due to be reported. A full list of the performance indicators is included in </w:t>
      </w:r>
      <w:r w:rsidR="00853B1A">
        <w:rPr>
          <w:rFonts w:ascii="Arial" w:eastAsia="Calibri" w:hAnsi="Arial" w:cs="Times New Roman"/>
        </w:rPr>
        <w:t>a</w:t>
      </w:r>
      <w:r w:rsidRPr="00201F8E">
        <w:rPr>
          <w:rFonts w:ascii="Arial" w:eastAsia="Calibri" w:hAnsi="Arial" w:cs="Times New Roman"/>
        </w:rPr>
        <w:t xml:space="preserve">ppendix 2. </w:t>
      </w:r>
    </w:p>
    <w:p w:rsidR="00AB4859" w:rsidP="00AB4859" w14:paraId="3AD2DD8D" w14:textId="77777777">
      <w:pPr>
        <w:spacing w:after="0" w:line="240" w:lineRule="auto"/>
        <w:rPr>
          <w:rFonts w:ascii="Arial" w:eastAsia="Calibri" w:hAnsi="Arial" w:cs="Times New Roman"/>
        </w:rPr>
      </w:pPr>
    </w:p>
    <w:p w:rsidR="00AB4859" w:rsidRPr="00DC66C7" w:rsidP="00DC66C7" w14:paraId="468A420A" w14:textId="77777777">
      <w:pPr>
        <w:spacing w:after="0" w:line="240" w:lineRule="auto"/>
        <w:rPr>
          <w:rFonts w:ascii="Arial" w:eastAsia="Calibri" w:hAnsi="Arial" w:cs="Times New Roman"/>
        </w:rPr>
      </w:pPr>
      <w:r>
        <w:rPr>
          <w:rFonts w:cstheme="minorHAnsi"/>
          <w:b/>
          <w:bCs/>
          <w:noProof/>
        </w:rPr>
        <mc:AlternateContent>
          <mc:Choice Requires="wpg">
            <w:drawing>
              <wp:inline distT="0" distB="0" distL="0" distR="0">
                <wp:extent cx="5731510" cy="689177"/>
                <wp:effectExtent l="19050" t="38100" r="21590" b="15875"/>
                <wp:docPr id="333" name="Group 333"/>
                <wp:cNvGraphicFramePr/>
                <a:graphic xmlns:a="http://schemas.openxmlformats.org/drawingml/2006/main">
                  <a:graphicData uri="http://schemas.microsoft.com/office/word/2010/wordprocessingGroup">
                    <wpg:wgp xmlns:wpg="http://schemas.microsoft.com/office/word/2010/wordprocessingGroup">
                      <wpg:cNvGrpSpPr/>
                      <wpg:grpSpPr>
                        <a:xfrm>
                          <a:off x="0" y="0"/>
                          <a:ext cx="5731510" cy="689177"/>
                          <a:chOff x="60758" y="58585"/>
                          <a:chExt cx="6258521" cy="678706"/>
                        </a:xfrm>
                      </wpg:grpSpPr>
                      <wpg:grpSp>
                        <wpg:cNvPr id="334" name="Group 334"/>
                        <wpg:cNvGrpSpPr/>
                        <wpg:grpSpPr>
                          <a:xfrm>
                            <a:off x="60758" y="58585"/>
                            <a:ext cx="1968686" cy="678706"/>
                            <a:chOff x="110923" y="51160"/>
                            <a:chExt cx="1971772" cy="657908"/>
                          </a:xfrm>
                        </wpg:grpSpPr>
                        <wps:wsp xmlns:wps="http://schemas.microsoft.com/office/word/2010/wordprocessingShape">
                          <wps:cNvPr id="335" name="Rectangle 73"/>
                          <wps:cNvSpPr>
                            <a:spLocks noChangeArrowheads="1"/>
                          </wps:cNvSpPr>
                          <wps:spPr bwMode="auto">
                            <a:xfrm flipH="1">
                              <a:off x="353598" y="249848"/>
                              <a:ext cx="1729097" cy="459220"/>
                            </a:xfrm>
                            <a:prstGeom prst="flowChartAlternateProcess">
                              <a:avLst/>
                            </a:prstGeom>
                            <a:solidFill>
                              <a:srgbClr val="FFFFFF"/>
                            </a:solidFill>
                            <a:ln w="25400">
                              <a:solidFill>
                                <a:srgbClr val="92D050"/>
                              </a:solidFill>
                              <a:miter lim="800000"/>
                              <a:headEnd/>
                              <a:tailEnd/>
                            </a:ln>
                          </wps:spPr>
                          <wps:txbx>
                            <w:txbxContent>
                              <w:p w:rsidR="00B10C74" w:rsidRPr="00C400C3" w:rsidP="00AB4859" w14:paraId="2D717378" w14:textId="77777777">
                                <w:pPr>
                                  <w:spacing w:after="0"/>
                                  <w:ind w:left="227"/>
                                  <w:jc w:val="center"/>
                                  <w:rPr>
                                    <w:b/>
                                    <w:color w:val="568424"/>
                                    <w:sz w:val="20"/>
                                    <w:szCs w:val="20"/>
                                  </w:rPr>
                                </w:pPr>
                                <w:r w:rsidRPr="00C400C3">
                                  <w:rPr>
                                    <w:b/>
                                    <w:color w:val="568424"/>
                                    <w:sz w:val="20"/>
                                    <w:szCs w:val="20"/>
                                  </w:rPr>
                                  <w:t>Performance is on or better than target</w:t>
                                </w:r>
                              </w:p>
                            </w:txbxContent>
                          </wps:txbx>
                          <wps:bodyPr rot="0" vert="horz" wrap="square" anchor="ctr" anchorCtr="0" upright="1"/>
                        </wps:wsp>
                        <wps:wsp xmlns:wps="http://schemas.microsoft.com/office/word/2010/wordprocessingShape">
                          <wps:cNvPr id="336" name="5-Point Star 74"/>
                          <wps:cNvSpPr/>
                          <wps:spPr bwMode="auto">
                            <a:xfrm>
                              <a:off x="110923" y="51160"/>
                              <a:ext cx="592098" cy="50794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 w 647700"/>
                                <a:gd name="T5" fmla="*/ 247399 h 647700"/>
                                <a:gd name="T6" fmla="*/ 247401 w 647700"/>
                                <a:gd name="T7" fmla="*/ 247400 h 647700"/>
                                <a:gd name="T8" fmla="*/ 323850 w 647700"/>
                                <a:gd name="T9" fmla="*/ 0 h 647700"/>
                                <a:gd name="T10" fmla="*/ 400299 w 647700"/>
                                <a:gd name="T11" fmla="*/ 247400 h 647700"/>
                                <a:gd name="T12" fmla="*/ 647699 w 647700"/>
                                <a:gd name="T13" fmla="*/ 247399 h 647700"/>
                                <a:gd name="T14" fmla="*/ 447547 w 647700"/>
                                <a:gd name="T15" fmla="*/ 400299 h 647700"/>
                                <a:gd name="T16" fmla="*/ 524000 w 647700"/>
                                <a:gd name="T17" fmla="*/ 647698 h 647700"/>
                                <a:gd name="T18" fmla="*/ 323850 w 647700"/>
                                <a:gd name="T19" fmla="*/ 494795 h 647700"/>
                                <a:gd name="T20" fmla="*/ 123700 w 647700"/>
                                <a:gd name="T21" fmla="*/ 647698 h 647700"/>
                                <a:gd name="T22" fmla="*/ 200153 w 647700"/>
                                <a:gd name="T23" fmla="*/ 400299 h 647700"/>
                                <a:gd name="T24" fmla="*/ 1 w 647700"/>
                                <a:gd name="T25" fmla="*/ 247399 h 6477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w 647700"/>
                                <a:gd name="T38" fmla="*/ 0 h 647700"/>
                                <a:gd name="T39" fmla="*/ 647700 w 647700"/>
                                <a:gd name="T40" fmla="*/ 647700 h 647700"/>
                              </a:gdLst>
                              <a:cxnLst>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 ang="T36">
                                  <a:pos x="T24" y="T25"/>
                                </a:cxn>
                              </a:cxnLst>
                              <a:rect l="T37" t="T38" r="T39" b="T40"/>
                              <a:pathLst>
                                <a:path fill="norm" h="647700" w="647700" stroke="1">
                                  <a:moveTo>
                                    <a:pt x="1" y="247399"/>
                                  </a:moveTo>
                                  <a:lnTo>
                                    <a:pt x="247401" y="247400"/>
                                  </a:lnTo>
                                  <a:lnTo>
                                    <a:pt x="323850" y="0"/>
                                  </a:lnTo>
                                  <a:lnTo>
                                    <a:pt x="400299" y="247400"/>
                                  </a:lnTo>
                                  <a:lnTo>
                                    <a:pt x="647699" y="247399"/>
                                  </a:lnTo>
                                  <a:lnTo>
                                    <a:pt x="447547" y="400299"/>
                                  </a:lnTo>
                                  <a:lnTo>
                                    <a:pt x="524000" y="647698"/>
                                  </a:lnTo>
                                  <a:lnTo>
                                    <a:pt x="323850" y="494795"/>
                                  </a:lnTo>
                                  <a:lnTo>
                                    <a:pt x="123700" y="647698"/>
                                  </a:lnTo>
                                  <a:lnTo>
                                    <a:pt x="200153" y="400299"/>
                                  </a:lnTo>
                                  <a:lnTo>
                                    <a:pt x="1" y="247399"/>
                                  </a:lnTo>
                                  <a:close/>
                                </a:path>
                              </a:pathLst>
                            </a:custGeom>
                            <a:solidFill>
                              <a:srgbClr val="92D050"/>
                            </a:solidFill>
                            <a:ln w="9525">
                              <a:solidFill>
                                <a:srgbClr val="92D050"/>
                              </a:solidFill>
                              <a:miter lim="800000"/>
                              <a:headEnd/>
                              <a:tailEnd/>
                            </a:ln>
                            <a:effectLst>
                              <a:outerShdw blurRad="0" dist="23000" dir="5400000" sx="100000" sy="100000" kx="0" ky="0" algn="b" rotWithShape="0">
                                <a:srgbClr val="000000">
                                  <a:alpha val="34998"/>
                                </a:srgbClr>
                              </a:outerShdw>
                            </a:effectLst>
                          </wps:spPr>
                          <wps:txbx>
                            <w:txbxContent>
                              <w:p w:rsidR="00B10C74" w:rsidRPr="00CD1D55" w:rsidP="00AB4859" w14:paraId="56DB360C" w14:textId="77777777">
                                <w:pPr>
                                  <w:spacing w:before="320"/>
                                  <w:jc w:val="center"/>
                                  <w:rPr>
                                    <w:b/>
                                    <w:color w:val="FFFFFF"/>
                                    <w:lang w:val="en-US"/>
                                  </w:rPr>
                                </w:pPr>
                                <w:r>
                                  <w:rPr>
                                    <w:b/>
                                    <w:color w:val="FFFFFF"/>
                                    <w:lang w:val="en-US"/>
                                  </w:rPr>
                                  <w:t>7</w:t>
                                </w:r>
                              </w:p>
                            </w:txbxContent>
                          </wps:txbx>
                          <wps:bodyPr rot="0" vert="horz" wrap="square" anchor="ctr" anchorCtr="0" upright="1"/>
                        </wps:wsp>
                      </wpg:grpSp>
                      <wpg:grpSp>
                        <wpg:cNvPr id="337" name="Group 337"/>
                        <wpg:cNvGrpSpPr/>
                        <wpg:grpSpPr>
                          <a:xfrm>
                            <a:off x="2215510" y="123830"/>
                            <a:ext cx="1941079" cy="605821"/>
                            <a:chOff x="121135" y="37328"/>
                            <a:chExt cx="1944347" cy="607276"/>
                          </a:xfrm>
                        </wpg:grpSpPr>
                        <wps:wsp xmlns:wps="http://schemas.microsoft.com/office/word/2010/wordprocessingShape">
                          <wps:cNvPr id="338" name="Rectangle 67"/>
                          <wps:cNvSpPr>
                            <a:spLocks noChangeArrowheads="1"/>
                          </wps:cNvSpPr>
                          <wps:spPr bwMode="auto">
                            <a:xfrm flipH="1">
                              <a:off x="336428" y="154786"/>
                              <a:ext cx="1729054" cy="489818"/>
                            </a:xfrm>
                            <a:prstGeom prst="roundRect">
                              <a:avLst/>
                            </a:prstGeom>
                            <a:solidFill>
                              <a:srgbClr val="FFFFFF"/>
                            </a:solidFill>
                            <a:ln w="25400">
                              <a:solidFill>
                                <a:srgbClr val="4F81BD"/>
                              </a:solidFill>
                              <a:miter lim="800000"/>
                              <a:headEnd/>
                              <a:tailEnd/>
                            </a:ln>
                          </wps:spPr>
                          <wps:txbx>
                            <w:txbxContent>
                              <w:p w:rsidR="00B10C74" w:rsidRPr="00672A2D" w:rsidP="00AB4859" w14:paraId="67FD1978"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wps:txbx>
                          <wps:bodyPr rot="0" vert="horz" wrap="square" anchor="ctr" anchorCtr="0" upright="1"/>
                        </wps:wsp>
                        <wps:wsp xmlns:wps="http://schemas.microsoft.com/office/word/2010/wordprocessingShape">
                          <wps:cNvPr id="339" name="Oval 68"/>
                          <wps:cNvSpPr>
                            <a:spLocks noChangeArrowheads="1"/>
                          </wps:cNvSpPr>
                          <wps:spPr bwMode="auto">
                            <a:xfrm>
                              <a:off x="121135" y="37328"/>
                              <a:ext cx="419218" cy="431130"/>
                            </a:xfrm>
                            <a:prstGeom prst="ellipse">
                              <a:avLst/>
                            </a:prstGeom>
                            <a:solidFill>
                              <a:srgbClr val="0070C0"/>
                            </a:solidFill>
                            <a:ln w="9525">
                              <a:solidFill>
                                <a:srgbClr val="4A7EBB"/>
                              </a:solidFill>
                              <a:round/>
                              <a:headEnd/>
                              <a:tailEnd/>
                            </a:ln>
                            <a:effectLst>
                              <a:outerShdw blurRad="0" dist="23000" dir="5400000" sx="100000" sy="100000" kx="0" ky="0" algn="b" rotWithShape="0">
                                <a:srgbClr val="000000">
                                  <a:alpha val="34998"/>
                                </a:srgbClr>
                              </a:outerShdw>
                            </a:effectLst>
                          </wps:spPr>
                          <wps:txbx>
                            <w:txbxContent>
                              <w:p w:rsidR="00B10C74" w:rsidRPr="00770FF6" w:rsidP="00AB4859" w14:paraId="1D9E6BE0" w14:textId="77777777">
                                <w:pPr>
                                  <w:spacing w:before="60"/>
                                  <w:jc w:val="center"/>
                                  <w:rPr>
                                    <w:b/>
                                    <w:color w:val="FFFFFF"/>
                                    <w:lang w:val="en-US"/>
                                  </w:rPr>
                                </w:pPr>
                                <w:r>
                                  <w:rPr>
                                    <w:b/>
                                    <w:color w:val="FFFFFF"/>
                                    <w:lang w:val="en-US"/>
                                  </w:rPr>
                                  <w:t>1</w:t>
                                </w:r>
                              </w:p>
                            </w:txbxContent>
                          </wps:txbx>
                          <wps:bodyPr rot="0" vert="horz" wrap="square" anchor="ctr" anchorCtr="0" upright="1"/>
                        </wps:wsp>
                      </wpg:grpSp>
                      <wpg:grpSp>
                        <wpg:cNvPr id="340" name="Group 340"/>
                        <wpg:cNvGrpSpPr/>
                        <wpg:grpSpPr>
                          <a:xfrm>
                            <a:off x="4354276" y="58586"/>
                            <a:ext cx="1965003" cy="671065"/>
                            <a:chOff x="80821" y="-45110"/>
                            <a:chExt cx="1967334" cy="636979"/>
                          </a:xfrm>
                        </wpg:grpSpPr>
                        <wps:wsp xmlns:wps="http://schemas.microsoft.com/office/word/2010/wordprocessingShape">
                          <wps:cNvPr id="341" name="Rectangle 76"/>
                          <wps:cNvSpPr>
                            <a:spLocks noChangeArrowheads="1"/>
                          </wps:cNvSpPr>
                          <wps:spPr bwMode="auto">
                            <a:xfrm flipH="1">
                              <a:off x="319093" y="127189"/>
                              <a:ext cx="1729062" cy="464680"/>
                            </a:xfrm>
                            <a:prstGeom prst="roundRect">
                              <a:avLst/>
                            </a:prstGeom>
                            <a:solidFill>
                              <a:srgbClr val="FFFFFF"/>
                            </a:solidFill>
                            <a:ln w="25400">
                              <a:solidFill>
                                <a:srgbClr val="C00000"/>
                              </a:solidFill>
                              <a:miter lim="800000"/>
                              <a:headEnd/>
                              <a:tailEnd/>
                            </a:ln>
                          </wps:spPr>
                          <wps:txbx>
                            <w:txbxContent>
                              <w:p w:rsidR="00B10C74" w:rsidRPr="00C400C3" w:rsidP="00AB4859" w14:paraId="78C52D18" w14:textId="77777777">
                                <w:pPr>
                                  <w:ind w:left="227"/>
                                  <w:jc w:val="center"/>
                                  <w:rPr>
                                    <w:b/>
                                    <w:color w:val="C00000"/>
                                    <w:sz w:val="20"/>
                                    <w:szCs w:val="20"/>
                                  </w:rPr>
                                </w:pPr>
                                <w:r w:rsidRPr="00C400C3">
                                  <w:rPr>
                                    <w:b/>
                                    <w:color w:val="C00000"/>
                                    <w:sz w:val="20"/>
                                    <w:szCs w:val="20"/>
                                  </w:rPr>
                                  <w:t>Worse than target, outside threshold</w:t>
                                </w:r>
                              </w:p>
                            </w:txbxContent>
                          </wps:txbx>
                          <wps:bodyPr rot="0" vert="horz" wrap="square" anchor="ctr" anchorCtr="0" upright="1"/>
                        </wps:wsp>
                        <wpg:grpSp>
                          <wpg:cNvPr id="342" name="Group 81"/>
                          <wpg:cNvGrpSpPr/>
                          <wpg:grpSpPr>
                            <a:xfrm>
                              <a:off x="80821" y="-45110"/>
                              <a:ext cx="508033" cy="497383"/>
                              <a:chOff x="80821" y="-45110"/>
                              <a:chExt cx="508033" cy="497383"/>
                            </a:xfrm>
                          </wpg:grpSpPr>
                          <wps:wsp xmlns:wps="http://schemas.microsoft.com/office/word/2010/wordprocessingShape">
                            <wps:cNvPr id="343" name="Isosceles Triangle 83"/>
                            <wps:cNvSpPr>
                              <a:spLocks noChangeArrowheads="1"/>
                            </wps:cNvSpPr>
                            <wps:spPr bwMode="auto">
                              <a:xfrm>
                                <a:off x="80821" y="-45110"/>
                                <a:ext cx="508033" cy="392825"/>
                              </a:xfrm>
                              <a:prstGeom prst="triangle">
                                <a:avLst>
                                  <a:gd name="adj" fmla="val 48630"/>
                                </a:avLst>
                              </a:prstGeom>
                              <a:solidFill>
                                <a:srgbClr val="C00000"/>
                              </a:solidFill>
                              <a:ln w="9525">
                                <a:solidFill>
                                  <a:srgbClr val="FF0000"/>
                                </a:solidFill>
                                <a:miter lim="800000"/>
                                <a:headEnd/>
                                <a:tailEnd/>
                              </a:ln>
                              <a:effectLst>
                                <a:outerShdw blurRad="0" dist="23000" dir="5400000" sx="100000" sy="100000" kx="0" ky="0" algn="b" rotWithShape="0">
                                  <a:srgbClr val="000000">
                                    <a:alpha val="34998"/>
                                  </a:srgbClr>
                                </a:outerShdw>
                              </a:effectLst>
                            </wps:spPr>
                            <wps:txbx>
                              <w:txbxContent>
                                <w:p w:rsidR="00B10C74" w:rsidRPr="00AB433C" w:rsidP="00AB4859" w14:paraId="7CF5CE3A" w14:textId="77777777">
                                  <w:pPr>
                                    <w:rPr>
                                      <w:b/>
                                      <w:color w:val="FFFFFF"/>
                                    </w:rPr>
                                  </w:pPr>
                                </w:p>
                                <w:p w:rsidR="00B10C74" w:rsidRPr="00AB433C" w:rsidP="00AB4859" w14:paraId="7CF58805" w14:textId="77777777">
                                  <w:pPr>
                                    <w:rPr>
                                      <w:b/>
                                      <w:color w:val="FFFFFF"/>
                                    </w:rPr>
                                  </w:pPr>
                                </w:p>
                              </w:txbxContent>
                            </wps:txbx>
                            <wps:bodyPr rot="0" vert="horz" wrap="square" anchor="t" anchorCtr="0" upright="1"/>
                          </wps:wsp>
                          <wps:wsp xmlns:wps="http://schemas.microsoft.com/office/word/2010/wordprocessingShape">
                            <wps:cNvPr id="344" name="Text Box 110"/>
                            <wps:cNvSpPr txBox="1">
                              <a:spLocks noChangeArrowheads="1"/>
                            </wps:cNvSpPr>
                            <wps:spPr bwMode="auto">
                              <a:xfrm>
                                <a:off x="191389" y="112826"/>
                                <a:ext cx="258445" cy="33944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B10C74" w:rsidRPr="00B0312C" w:rsidP="00AB4859" w14:paraId="6E9DFBD4" w14:textId="77777777">
                                  <w:pPr>
                                    <w:rPr>
                                      <w:b/>
                                      <w:color w:val="FFFFFF"/>
                                      <w:lang w:val="en-US"/>
                                    </w:rPr>
                                  </w:pPr>
                                  <w:r>
                                    <w:rPr>
                                      <w:b/>
                                      <w:color w:val="FFFFFF"/>
                                      <w:lang w:val="en-US"/>
                                    </w:rPr>
                                    <w:t>3</w:t>
                                  </w:r>
                                </w:p>
                              </w:txbxContent>
                            </wps:txbx>
                            <wps:bodyPr rot="0" vert="horz" wrap="square" anchor="t" anchorCtr="0" upright="1"/>
                          </wps:wsp>
                        </wpg:grpSp>
                      </wpg:grpSp>
                    </wpg:wgp>
                  </a:graphicData>
                </a:graphic>
              </wp:inline>
            </w:drawing>
          </mc:Choice>
          <mc:Fallback>
            <w:pict>
              <v:group id="Group 333" o:spid="_x0000_i1159" style="width:451.3pt;height:54.25pt;mso-position-horizontal-relative:char;mso-position-vertical-relative:line" coordorigin="607,585" coordsize="62585,6787">
                <v:group id="Group 334" o:spid="_x0000_s1160" style="width:19687;height:6787;left:607;position:absolute;top:585" coordorigin="1109,511" coordsize="19717,6579">
                  <v:shape id="Rectangle 73" o:spid="_x0000_s1161" type="#_x0000_t176" style="width:17291;height:4592;flip:x;left:3535;mso-wrap-style:square;position:absolute;top:2498;visibility:visible;v-text-anchor:middle" strokecolor="#92d050" strokeweight="2pt">
                    <v:textbox>
                      <w:txbxContent>
                        <w:p w:rsidR="00B10C74" w:rsidRPr="00C400C3" w:rsidP="00AB4859" w14:paraId="4B621645" w14:textId="77777777">
                          <w:pPr>
                            <w:spacing w:after="0"/>
                            <w:ind w:left="227"/>
                            <w:jc w:val="center"/>
                            <w:rPr>
                              <w:b/>
                              <w:color w:val="568424"/>
                              <w:sz w:val="20"/>
                              <w:szCs w:val="20"/>
                            </w:rPr>
                          </w:pPr>
                          <w:r w:rsidRPr="00C400C3">
                            <w:rPr>
                              <w:b/>
                              <w:color w:val="568424"/>
                              <w:sz w:val="20"/>
                              <w:szCs w:val="20"/>
                            </w:rPr>
                            <w:t>Performance is on or better than target</w:t>
                          </w:r>
                        </w:p>
                      </w:txbxContent>
                    </v:textbox>
                  </v:shape>
                  <v:shape id="5-Point Star 74" o:spid="_x0000_s1162" style="width:5921;height:5080;left:1109;mso-wrap-style:square;position:absolute;top:511;visibility:visible;v-text-anchor:middle" coordsize="647700,647700" o:spt="100" adj="-11796480,,5400" path="m1,247399l247401,247400l323850,l400299,247400l647699,247399,447547,400299l524000,647698l323850,494795,123700,647698,200153,400299,1,247399xe" fillcolor="#92d050" strokecolor="#92d050">
                    <v:stroke joinstyle="miter"/>
                    <v:shadow on="t" color="black" opacity="22936f" origin=",0.5" offset="0,1.81pt"/>
                    <v:formulas/>
                    <v:path arrowok="t" o:connecttype="custom" o:connectlocs="1,194016;226163,194017;296049,0;365935,194017;592097,194016;409127,313924;479017,507940;296049,388030;113081,507940;182971,313924;1,194016" o:connectangles="0,0,0,0,0,0,0,0,0,0,0" textboxrect="0,0,647700,647700"/>
                    <v:textbox>
                      <w:txbxContent>
                        <w:p w:rsidR="00B10C74" w:rsidRPr="00CD1D55" w:rsidP="00AB4859" w14:paraId="5BD1620B" w14:textId="77777777">
                          <w:pPr>
                            <w:spacing w:before="320"/>
                            <w:jc w:val="center"/>
                            <w:rPr>
                              <w:b/>
                              <w:color w:val="FFFFFF"/>
                              <w:lang w:val="en-US"/>
                            </w:rPr>
                          </w:pPr>
                          <w:r>
                            <w:rPr>
                              <w:b/>
                              <w:color w:val="FFFFFF"/>
                              <w:lang w:val="en-US"/>
                            </w:rPr>
                            <w:t>7</w:t>
                          </w:r>
                        </w:p>
                      </w:txbxContent>
                    </v:textbox>
                  </v:shape>
                </v:group>
                <v:group id="Group 337" o:spid="_x0000_s1163" style="width:19410;height:6058;left:22155;position:absolute;top:1238" coordorigin="1211,373" coordsize="19443,6072">
                  <v:roundrect id="Rectangle 67" o:spid="_x0000_s1164" style="width:17290;height:4899;flip:x;left:3364;mso-wrap-style:square;position:absolute;top:1547;visibility:visible;v-text-anchor:middle" arcsize="10923f" strokecolor="#4f81bd" strokeweight="2pt">
                    <v:stroke joinstyle="miter"/>
                    <v:textbox>
                      <w:txbxContent>
                        <w:p w:rsidR="00B10C74" w:rsidRPr="00672A2D" w:rsidP="00AB4859" w14:paraId="277B1BF2" w14:textId="77777777">
                          <w:pPr>
                            <w:ind w:left="227"/>
                            <w:jc w:val="center"/>
                            <w:rPr>
                              <w:b/>
                              <w:color w:val="92D050"/>
                            </w:rPr>
                          </w:pPr>
                          <w:r w:rsidRPr="006754E6">
                            <w:rPr>
                              <w:b/>
                              <w:color w:val="0070C0"/>
                              <w:sz w:val="20"/>
                              <w:szCs w:val="20"/>
                            </w:rPr>
                            <w:t>Worse than target but within</w:t>
                          </w:r>
                          <w:r w:rsidRPr="006754E6">
                            <w:rPr>
                              <w:b/>
                              <w:color w:val="0070C0"/>
                              <w:sz w:val="18"/>
                              <w:szCs w:val="18"/>
                            </w:rPr>
                            <w:t xml:space="preserve"> </w:t>
                          </w:r>
                          <w:r w:rsidRPr="006754E6">
                            <w:rPr>
                              <w:b/>
                              <w:color w:val="0070C0"/>
                              <w:sz w:val="20"/>
                              <w:szCs w:val="20"/>
                            </w:rPr>
                            <w:t>threshold</w:t>
                          </w:r>
                        </w:p>
                      </w:txbxContent>
                    </v:textbox>
                  </v:roundrect>
                  <v:oval id="Oval 68" o:spid="_x0000_s1165" style="width:4192;height:4311;left:1211;mso-wrap-style:square;position:absolute;top:373;visibility:visible;v-text-anchor:middle" fillcolor="#0070c0" strokecolor="#4a7ebb">
                    <v:shadow on="t" color="black" opacity="22936f" origin=",0.5" offset="0,1.81pt"/>
                    <v:textbox>
                      <w:txbxContent>
                        <w:p w:rsidR="00B10C74" w:rsidRPr="00770FF6" w:rsidP="00AB4859" w14:paraId="7AC51882" w14:textId="77777777">
                          <w:pPr>
                            <w:spacing w:before="60"/>
                            <w:jc w:val="center"/>
                            <w:rPr>
                              <w:b/>
                              <w:color w:val="FFFFFF"/>
                              <w:lang w:val="en-US"/>
                            </w:rPr>
                          </w:pPr>
                          <w:r>
                            <w:rPr>
                              <w:b/>
                              <w:color w:val="FFFFFF"/>
                              <w:lang w:val="en-US"/>
                            </w:rPr>
                            <w:t>1</w:t>
                          </w:r>
                        </w:p>
                      </w:txbxContent>
                    </v:textbox>
                  </v:oval>
                </v:group>
                <v:group id="Group 340" o:spid="_x0000_s1166" style="width:19650;height:6711;left:43542;position:absolute;top:585" coordorigin="808,-451" coordsize="19673,6369">
                  <v:roundrect id="Rectangle 76" o:spid="_x0000_s1167" style="width:17291;height:4647;flip:x;left:3190;mso-wrap-style:square;position:absolute;top:1271;visibility:visible;v-text-anchor:middle" arcsize="10923f" strokecolor="#c00000" strokeweight="2pt">
                    <v:stroke joinstyle="miter"/>
                    <v:textbox>
                      <w:txbxContent>
                        <w:p w:rsidR="00B10C74" w:rsidRPr="00C400C3" w:rsidP="00AB4859" w14:paraId="28BC4EAF" w14:textId="77777777">
                          <w:pPr>
                            <w:ind w:left="227"/>
                            <w:jc w:val="center"/>
                            <w:rPr>
                              <w:b/>
                              <w:color w:val="C00000"/>
                              <w:sz w:val="20"/>
                              <w:szCs w:val="20"/>
                            </w:rPr>
                          </w:pPr>
                          <w:r w:rsidRPr="00C400C3">
                            <w:rPr>
                              <w:b/>
                              <w:color w:val="C00000"/>
                              <w:sz w:val="20"/>
                              <w:szCs w:val="20"/>
                            </w:rPr>
                            <w:t>Worse than target, outside threshold</w:t>
                          </w:r>
                        </w:p>
                      </w:txbxContent>
                    </v:textbox>
                  </v:roundrect>
                  <v:group id="Group 81" o:spid="_x0000_s1168" style="width:5080;height:4973;left:808;position:absolute;top:-451" coordorigin="808,-451" coordsize="5080,4973">
                    <v:shape id="Isosceles Triangle 83" o:spid="_x0000_s1169" type="#_x0000_t5" style="width:5080;height:3928;left:808;mso-wrap-style:square;position:absolute;top:-451;visibility:visible;v-text-anchor:top" adj="10504" fillcolor="#c00000" strokecolor="red">
                      <v:shadow on="t" color="black" opacity="22936f" origin=",0.5" offset="0,1.81pt"/>
                      <v:textbox>
                        <w:txbxContent>
                          <w:p w:rsidR="00B10C74" w:rsidRPr="00AB433C" w:rsidP="00AB4859" w14:paraId="242A6A65" w14:textId="77777777">
                            <w:pPr>
                              <w:rPr>
                                <w:b/>
                                <w:color w:val="FFFFFF"/>
                              </w:rPr>
                            </w:pPr>
                          </w:p>
                          <w:p w:rsidR="00B10C74" w:rsidRPr="00AB433C" w:rsidP="00AB4859" w14:paraId="0A407970" w14:textId="77777777">
                            <w:pPr>
                              <w:rPr>
                                <w:b/>
                                <w:color w:val="FFFFFF"/>
                              </w:rPr>
                            </w:pPr>
                          </w:p>
                        </w:txbxContent>
                      </v:textbox>
                    </v:shape>
                    <v:shape id="Text Box 110" o:spid="_x0000_s1170" type="#_x0000_t202" style="width:2585;height:3394;left:1913;mso-wrap-style:square;position:absolute;top:1128;visibility:visible;v-text-anchor:top" filled="f" stroked="f" strokeweight="0.5pt">
                      <v:textbox>
                        <w:txbxContent>
                          <w:p w:rsidR="00B10C74" w:rsidRPr="00B0312C" w:rsidP="00AB4859" w14:paraId="361CA678" w14:textId="77777777">
                            <w:pPr>
                              <w:rPr>
                                <w:b/>
                                <w:color w:val="FFFFFF"/>
                                <w:lang w:val="en-US"/>
                              </w:rPr>
                            </w:pPr>
                            <w:r>
                              <w:rPr>
                                <w:b/>
                                <w:color w:val="FFFFFF"/>
                                <w:lang w:val="en-US"/>
                              </w:rPr>
                              <w:t>3</w:t>
                            </w:r>
                          </w:p>
                        </w:txbxContent>
                      </v:textbox>
                    </v:shape>
                  </v:group>
                </v:group>
                <w10:wrap type="none"/>
                <w10:anchorlock/>
              </v:group>
            </w:pict>
          </mc:Fallback>
        </mc:AlternateContent>
      </w:r>
    </w:p>
    <w:p w:rsidR="0014668B" w:rsidP="0014668B" w14:paraId="41144EFA" w14:textId="77777777">
      <w:pPr>
        <w:pStyle w:val="ListParagraph"/>
        <w:spacing w:after="0" w:line="240" w:lineRule="auto"/>
        <w:ind w:left="360"/>
        <w:rPr>
          <w:rFonts w:ascii="Arial" w:eastAsia="Calibri" w:hAnsi="Arial" w:cs="Times New Roman"/>
        </w:rPr>
      </w:pPr>
    </w:p>
    <w:p w:rsidR="0014668B" w:rsidP="00887AE6" w14:paraId="4326A263" w14:textId="4415B828">
      <w:pPr>
        <w:pStyle w:val="ListParagraph"/>
        <w:numPr>
          <w:ilvl w:val="0"/>
          <w:numId w:val="1"/>
        </w:numPr>
        <w:spacing w:after="0" w:line="240" w:lineRule="auto"/>
        <w:ind w:left="567" w:hanging="567"/>
        <w:rPr>
          <w:rFonts w:ascii="Arial" w:eastAsia="Calibri" w:hAnsi="Arial" w:cs="Times New Roman"/>
        </w:rPr>
      </w:pPr>
      <w:r>
        <w:rPr>
          <w:rFonts w:ascii="Arial" w:eastAsia="Calibri" w:hAnsi="Arial" w:cs="Times New Roman"/>
        </w:rPr>
        <w:t>Of the 1</w:t>
      </w:r>
      <w:r w:rsidR="00A62E57">
        <w:rPr>
          <w:rFonts w:ascii="Arial" w:eastAsia="Calibri" w:hAnsi="Arial" w:cs="Times New Roman"/>
        </w:rPr>
        <w:t>1</w:t>
      </w:r>
      <w:r>
        <w:rPr>
          <w:rFonts w:ascii="Arial" w:eastAsia="Calibri" w:hAnsi="Arial" w:cs="Times New Roman"/>
        </w:rPr>
        <w:t xml:space="preserve"> key organisational performance measures, </w:t>
      </w:r>
      <w:r w:rsidR="00D745DC">
        <w:rPr>
          <w:rFonts w:ascii="Arial" w:eastAsia="Calibri" w:hAnsi="Arial" w:cs="Times New Roman"/>
        </w:rPr>
        <w:t>seven</w:t>
      </w:r>
      <w:r w:rsidRPr="00361A26">
        <w:rPr>
          <w:rFonts w:ascii="Arial" w:eastAsia="Calibri" w:hAnsi="Arial" w:cs="Times New Roman"/>
        </w:rPr>
        <w:t xml:space="preserve"> </w:t>
      </w:r>
      <w:r>
        <w:rPr>
          <w:rFonts w:ascii="Arial" w:eastAsia="Calibri" w:hAnsi="Arial" w:cs="Times New Roman"/>
        </w:rPr>
        <w:t>are on track and performing better than target:</w:t>
      </w:r>
    </w:p>
    <w:p w:rsidR="00810055" w:rsidRPr="00F01C53" w:rsidP="00392FA0" w14:paraId="656FA957" w14:textId="0BBDF436">
      <w:pPr>
        <w:pStyle w:val="ListParagraph"/>
        <w:numPr>
          <w:ilvl w:val="0"/>
          <w:numId w:val="7"/>
        </w:numPr>
        <w:spacing w:after="0" w:line="240" w:lineRule="auto"/>
        <w:ind w:left="1134"/>
        <w:rPr>
          <w:rFonts w:eastAsia="Calibri" w:cs="Times New Roman"/>
          <w:sz w:val="24"/>
          <w:szCs w:val="24"/>
        </w:rPr>
      </w:pPr>
      <w:bookmarkStart w:id="10" w:name="_Hlk108780869"/>
      <w:r w:rsidRPr="00FB1ABE">
        <w:t>Number of RIDDOR incidents</w:t>
      </w:r>
      <w:bookmarkEnd w:id="10"/>
      <w:r w:rsidR="00FB1ABE">
        <w:t>,</w:t>
      </w:r>
    </w:p>
    <w:p w:rsidR="00F01C53" w:rsidRPr="00FB1ABE" w:rsidP="00392FA0" w14:paraId="114E7E3B" w14:textId="39F999D4">
      <w:pPr>
        <w:pStyle w:val="ListParagraph"/>
        <w:numPr>
          <w:ilvl w:val="0"/>
          <w:numId w:val="7"/>
        </w:numPr>
        <w:spacing w:after="0" w:line="240" w:lineRule="auto"/>
        <w:ind w:left="1134"/>
        <w:rPr>
          <w:rFonts w:eastAsia="Calibri" w:cs="Times New Roman"/>
          <w:sz w:val="24"/>
          <w:szCs w:val="24"/>
        </w:rPr>
      </w:pPr>
      <w:r w:rsidRPr="00A126F4">
        <w:rPr>
          <w:rFonts w:eastAsia="Calibri" w:cs="Times New Roman"/>
        </w:rPr>
        <w:t>Number of near misses reported and acted upon</w:t>
      </w:r>
      <w:r>
        <w:rPr>
          <w:rFonts w:eastAsia="Calibri" w:cs="Times New Roman"/>
        </w:rPr>
        <w:t>,</w:t>
      </w:r>
    </w:p>
    <w:p w:rsidR="00D745DC" w:rsidP="00D745DC" w14:paraId="02FF1C4A" w14:textId="77777777">
      <w:pPr>
        <w:pStyle w:val="ListParagraph"/>
        <w:numPr>
          <w:ilvl w:val="0"/>
          <w:numId w:val="7"/>
        </w:numPr>
        <w:spacing w:after="0" w:line="240" w:lineRule="auto"/>
        <w:ind w:left="1134"/>
        <w:rPr>
          <w:rFonts w:eastAsia="Calibri" w:cs="Times New Roman"/>
        </w:rPr>
      </w:pPr>
      <w:r w:rsidRPr="008B74A2">
        <w:rPr>
          <w:rFonts w:eastAsia="Calibri" w:cs="Times New Roman"/>
        </w:rPr>
        <w:t xml:space="preserve">The average number of working days from Disabled Facilities grant </w:t>
      </w:r>
      <w:r w:rsidRPr="008B74A2">
        <w:rPr>
          <w:rFonts w:eastAsia="Calibri" w:cs="Times New Roman"/>
        </w:rPr>
        <w:t>referral received from LCC to application approved</w:t>
      </w:r>
      <w:r w:rsidR="00FB1ABE">
        <w:rPr>
          <w:rFonts w:eastAsia="Calibri" w:cs="Times New Roman"/>
        </w:rPr>
        <w:t>,</w:t>
      </w:r>
    </w:p>
    <w:p w:rsidR="00D745DC" w:rsidRPr="00D745DC" w:rsidP="00D745DC" w14:paraId="360EE6E9" w14:textId="4A503B48">
      <w:pPr>
        <w:pStyle w:val="ListParagraph"/>
        <w:numPr>
          <w:ilvl w:val="0"/>
          <w:numId w:val="7"/>
        </w:numPr>
        <w:spacing w:after="0" w:line="240" w:lineRule="auto"/>
        <w:ind w:left="1134"/>
        <w:rPr>
          <w:rFonts w:eastAsia="Calibri" w:cs="Times New Roman"/>
        </w:rPr>
      </w:pPr>
      <w:r w:rsidRPr="00FE1175">
        <w:t>Number of accidents reported to Health and Safety from work related activity</w:t>
      </w:r>
      <w:r>
        <w:t>,</w:t>
      </w:r>
    </w:p>
    <w:p w:rsidR="00F01C53" w:rsidRPr="008B74A2" w:rsidP="00F01C53" w14:paraId="6ED82B6D" w14:textId="77777777">
      <w:pPr>
        <w:pStyle w:val="ListParagraph"/>
        <w:numPr>
          <w:ilvl w:val="0"/>
          <w:numId w:val="7"/>
        </w:numPr>
        <w:spacing w:after="0" w:line="240" w:lineRule="auto"/>
        <w:ind w:left="1134"/>
        <w:rPr>
          <w:rFonts w:eastAsia="Calibri" w:cs="Times New Roman"/>
        </w:rPr>
      </w:pPr>
      <w:r w:rsidRPr="008B74A2">
        <w:rPr>
          <w:rFonts w:eastAsia="Calibri" w:cs="Times New Roman"/>
        </w:rPr>
        <w:t>% planning applications decided within 13 weeks (major applications)</w:t>
      </w:r>
      <w:r>
        <w:rPr>
          <w:rFonts w:eastAsia="Calibri" w:cs="Times New Roman"/>
        </w:rPr>
        <w:t>,</w:t>
      </w:r>
    </w:p>
    <w:p w:rsidR="00810055" w:rsidP="00392FA0" w14:paraId="788C7FA6" w14:textId="77777777">
      <w:pPr>
        <w:pStyle w:val="ListParagraph"/>
        <w:numPr>
          <w:ilvl w:val="0"/>
          <w:numId w:val="7"/>
        </w:numPr>
        <w:spacing w:after="0" w:line="240" w:lineRule="auto"/>
        <w:ind w:left="1134"/>
        <w:rPr>
          <w:rFonts w:eastAsia="Calibri" w:cs="Times New Roman"/>
        </w:rPr>
      </w:pPr>
      <w:r w:rsidRPr="008B74A2">
        <w:rPr>
          <w:rFonts w:eastAsia="Calibri" w:cs="Times New Roman"/>
        </w:rPr>
        <w:t>Percentage of Business Rates (Cumulative YTD)</w:t>
      </w:r>
      <w:r w:rsidR="00FB1ABE">
        <w:rPr>
          <w:rFonts w:eastAsia="Calibri" w:cs="Times New Roman"/>
        </w:rPr>
        <w:t>,</w:t>
      </w:r>
    </w:p>
    <w:p w:rsidR="00810055" w:rsidRPr="008B74A2" w:rsidP="00392FA0" w14:paraId="410A024F" w14:textId="77777777">
      <w:pPr>
        <w:pStyle w:val="ListParagraph"/>
        <w:numPr>
          <w:ilvl w:val="0"/>
          <w:numId w:val="7"/>
        </w:numPr>
        <w:spacing w:after="0" w:line="240" w:lineRule="auto"/>
        <w:ind w:left="1134"/>
        <w:rPr>
          <w:rFonts w:eastAsia="Calibri" w:cs="Times New Roman"/>
        </w:rPr>
      </w:pPr>
      <w:r w:rsidRPr="008B74A2">
        <w:rPr>
          <w:rFonts w:eastAsia="Calibri" w:cs="Times New Roman"/>
        </w:rPr>
        <w:t>Percentag</w:t>
      </w:r>
      <w:r w:rsidRPr="008B74A2">
        <w:rPr>
          <w:rFonts w:eastAsia="Calibri" w:cs="Times New Roman"/>
        </w:rPr>
        <w:t>e of Council Tax collected (Cumulative YTD)</w:t>
      </w:r>
      <w:r w:rsidR="00FB1ABE">
        <w:rPr>
          <w:rFonts w:eastAsia="Calibri" w:cs="Times New Roman"/>
        </w:rPr>
        <w:t>.</w:t>
      </w:r>
    </w:p>
    <w:p w:rsidR="00810055" w:rsidRPr="00810055" w:rsidP="00810055" w14:paraId="3807660B" w14:textId="77777777">
      <w:pPr>
        <w:pStyle w:val="ListParagraph"/>
        <w:spacing w:after="0" w:line="240" w:lineRule="auto"/>
        <w:ind w:left="1134"/>
        <w:rPr>
          <w:rFonts w:eastAsia="Calibri" w:cs="Times New Roman"/>
        </w:rPr>
      </w:pPr>
    </w:p>
    <w:p w:rsidR="00361A26" w:rsidRPr="00361A26" w:rsidP="00887AE6" w14:paraId="1B5A0D78" w14:textId="6A115363">
      <w:pPr>
        <w:pStyle w:val="ListParagraph"/>
        <w:numPr>
          <w:ilvl w:val="0"/>
          <w:numId w:val="1"/>
        </w:numPr>
        <w:spacing w:after="0" w:line="240" w:lineRule="auto"/>
        <w:ind w:left="567" w:hanging="567"/>
        <w:rPr>
          <w:rFonts w:ascii="Arial" w:eastAsia="Times New Roman" w:hAnsi="Arial" w:cs="Arial"/>
          <w:lang w:eastAsia="en-GB"/>
        </w:rPr>
      </w:pPr>
      <w:r>
        <w:rPr>
          <w:rFonts w:ascii="Arial" w:eastAsia="Times New Roman" w:hAnsi="Arial" w:cs="Arial"/>
          <w:lang w:eastAsia="en-GB"/>
        </w:rPr>
        <w:t xml:space="preserve">One performance measure is performing </w:t>
      </w:r>
      <w:r w:rsidRPr="003931AA">
        <w:rPr>
          <w:rFonts w:cstheme="minorHAnsi"/>
          <w:bCs/>
          <w:iCs/>
        </w:rPr>
        <w:t>worse tha</w:t>
      </w:r>
      <w:r>
        <w:rPr>
          <w:rFonts w:cstheme="minorHAnsi"/>
          <w:bCs/>
          <w:iCs/>
        </w:rPr>
        <w:t>n</w:t>
      </w:r>
      <w:r w:rsidRPr="003931AA">
        <w:rPr>
          <w:rFonts w:cstheme="minorHAnsi"/>
          <w:bCs/>
          <w:iCs/>
        </w:rPr>
        <w:t xml:space="preserve"> target but within a 5% tolerance of the target</w:t>
      </w:r>
      <w:r>
        <w:rPr>
          <w:rFonts w:cstheme="minorHAnsi"/>
          <w:bCs/>
          <w:iCs/>
        </w:rPr>
        <w:t>:</w:t>
      </w:r>
    </w:p>
    <w:p w:rsidR="00361A26" w:rsidRPr="00361A26" w:rsidP="00361A26" w14:paraId="4A13A32A" w14:textId="4BF5A697">
      <w:pPr>
        <w:pStyle w:val="ListParagraph"/>
        <w:numPr>
          <w:ilvl w:val="0"/>
          <w:numId w:val="7"/>
        </w:numPr>
        <w:spacing w:after="0" w:line="240" w:lineRule="auto"/>
        <w:ind w:left="1134"/>
        <w:rPr>
          <w:rFonts w:eastAsia="Calibri" w:cs="Times New Roman"/>
        </w:rPr>
      </w:pPr>
      <w:r w:rsidRPr="00361A26">
        <w:rPr>
          <w:rFonts w:eastAsia="Calibri" w:cs="Times New Roman"/>
        </w:rPr>
        <w:t>% planning applications decided within 8 weeks (minor / other applications)</w:t>
      </w:r>
      <w:r>
        <w:rPr>
          <w:rFonts w:eastAsia="Calibri" w:cs="Times New Roman"/>
        </w:rPr>
        <w:t>.</w:t>
      </w:r>
    </w:p>
    <w:p w:rsidR="00361A26" w:rsidP="00361A26" w14:paraId="35B8DDA0" w14:textId="77777777">
      <w:pPr>
        <w:pStyle w:val="ListParagraph"/>
        <w:spacing w:after="0" w:line="240" w:lineRule="auto"/>
        <w:ind w:left="1080"/>
        <w:rPr>
          <w:rFonts w:ascii="Arial" w:eastAsia="Times New Roman" w:hAnsi="Arial" w:cs="Arial"/>
          <w:lang w:eastAsia="en-GB"/>
        </w:rPr>
      </w:pPr>
    </w:p>
    <w:p w:rsidR="0027069D" w:rsidP="00887AE6" w14:paraId="0EE28991" w14:textId="4A5300C2">
      <w:pPr>
        <w:pStyle w:val="ListParagraph"/>
        <w:numPr>
          <w:ilvl w:val="0"/>
          <w:numId w:val="1"/>
        </w:numPr>
        <w:spacing w:after="0" w:line="240" w:lineRule="auto"/>
        <w:ind w:left="567" w:hanging="567"/>
        <w:rPr>
          <w:rFonts w:ascii="Arial" w:eastAsia="Times New Roman" w:hAnsi="Arial" w:cs="Arial"/>
          <w:lang w:eastAsia="en-GB"/>
        </w:rPr>
      </w:pPr>
      <w:r>
        <w:rPr>
          <w:rFonts w:ascii="Arial" w:eastAsia="Times New Roman" w:hAnsi="Arial" w:cs="Arial"/>
          <w:lang w:eastAsia="en-GB"/>
        </w:rPr>
        <w:t>Three</w:t>
      </w:r>
      <w:r w:rsidRPr="00361A26" w:rsidR="00C23BC9">
        <w:rPr>
          <w:rFonts w:ascii="Arial" w:eastAsia="Times New Roman" w:hAnsi="Arial" w:cs="Arial"/>
          <w:lang w:eastAsia="en-GB"/>
        </w:rPr>
        <w:t xml:space="preserve"> </w:t>
      </w:r>
      <w:r w:rsidRPr="0027069D" w:rsidR="00C23BC9">
        <w:rPr>
          <w:rFonts w:ascii="Arial" w:eastAsia="Times New Roman" w:hAnsi="Arial" w:cs="Arial"/>
          <w:lang w:eastAsia="en-GB"/>
        </w:rPr>
        <w:t>performance measure are rated off track and are performing worse than target, and outside the 5% threshold</w:t>
      </w:r>
      <w:r w:rsidR="00FB1ABE">
        <w:rPr>
          <w:rFonts w:ascii="Arial" w:eastAsia="Times New Roman" w:hAnsi="Arial" w:cs="Arial"/>
          <w:lang w:eastAsia="en-GB"/>
        </w:rPr>
        <w:t>:</w:t>
      </w:r>
      <w:r w:rsidRPr="0027069D" w:rsidR="00C23BC9">
        <w:rPr>
          <w:rFonts w:ascii="Arial" w:eastAsia="Times New Roman" w:hAnsi="Arial" w:cs="Arial"/>
          <w:lang w:eastAsia="en-GB"/>
        </w:rPr>
        <w:t xml:space="preserve">  </w:t>
      </w:r>
    </w:p>
    <w:p w:rsidR="003A4818" w:rsidRPr="0027069D" w:rsidP="00392FA0" w14:paraId="23C443CA" w14:textId="77777777">
      <w:pPr>
        <w:pStyle w:val="ListParagraph"/>
        <w:numPr>
          <w:ilvl w:val="0"/>
          <w:numId w:val="9"/>
        </w:numPr>
        <w:spacing w:after="0" w:line="240" w:lineRule="auto"/>
        <w:ind w:left="1134"/>
        <w:rPr>
          <w:rFonts w:eastAsia="Calibri" w:cs="Times New Roman"/>
        </w:rPr>
      </w:pPr>
      <w:r w:rsidRPr="0027069D">
        <w:rPr>
          <w:rFonts w:eastAsia="Calibri" w:cs="Times New Roman"/>
        </w:rPr>
        <w:t>% of telephone calls answered within 90 seconds</w:t>
      </w:r>
      <w:r w:rsidR="00FB1ABE">
        <w:rPr>
          <w:rFonts w:eastAsia="Calibri" w:cs="Times New Roman"/>
        </w:rPr>
        <w:t>,</w:t>
      </w:r>
    </w:p>
    <w:p w:rsidR="003A4818" w:rsidP="00392FA0" w14:paraId="3B695421" w14:textId="2084373E">
      <w:pPr>
        <w:pStyle w:val="ListParagraph"/>
        <w:numPr>
          <w:ilvl w:val="0"/>
          <w:numId w:val="8"/>
        </w:numPr>
        <w:spacing w:after="0" w:line="240" w:lineRule="auto"/>
        <w:ind w:left="1134"/>
        <w:rPr>
          <w:rFonts w:eastAsia="Calibri" w:cs="Times New Roman"/>
        </w:rPr>
      </w:pPr>
      <w:r w:rsidRPr="008B74A2">
        <w:rPr>
          <w:rFonts w:eastAsia="Calibri" w:cs="Times New Roman"/>
        </w:rPr>
        <w:t>% of calls abandoned before being answered in a quarter</w:t>
      </w:r>
      <w:r w:rsidR="00FB1ABE">
        <w:rPr>
          <w:rFonts w:eastAsia="Calibri" w:cs="Times New Roman"/>
        </w:rPr>
        <w:t>,</w:t>
      </w:r>
    </w:p>
    <w:p w:rsidR="00361A26" w:rsidP="00392FA0" w14:paraId="093A3ECD" w14:textId="2A04CA7F">
      <w:pPr>
        <w:pStyle w:val="ListParagraph"/>
        <w:numPr>
          <w:ilvl w:val="0"/>
          <w:numId w:val="8"/>
        </w:numPr>
        <w:spacing w:after="0" w:line="240" w:lineRule="auto"/>
        <w:ind w:left="1134"/>
        <w:rPr>
          <w:rFonts w:eastAsia="Calibri" w:cs="Times New Roman"/>
        </w:rPr>
      </w:pPr>
      <w:r w:rsidRPr="00FE1175">
        <w:rPr>
          <w:rFonts w:eastAsia="Calibri" w:cs="Times New Roman"/>
        </w:rPr>
        <w:t>Number of households in temporary accommodation at the end of th</w:t>
      </w:r>
      <w:r w:rsidRPr="00FE1175">
        <w:rPr>
          <w:rFonts w:eastAsia="Calibri" w:cs="Times New Roman"/>
        </w:rPr>
        <w:t>e quarter</w:t>
      </w:r>
      <w:r>
        <w:rPr>
          <w:rFonts w:eastAsia="Calibri" w:cs="Times New Roman"/>
        </w:rPr>
        <w:t>.</w:t>
      </w:r>
      <w:r w:rsidRPr="00FE1175">
        <w:rPr>
          <w:rFonts w:eastAsia="Calibri" w:cs="Times New Roman"/>
        </w:rPr>
        <w:t xml:space="preserve">  </w:t>
      </w:r>
    </w:p>
    <w:p w:rsidR="00810055" w:rsidP="00810055" w14:paraId="2A4B4061" w14:textId="77777777">
      <w:pPr>
        <w:spacing w:after="0" w:line="240" w:lineRule="auto"/>
        <w:ind w:left="774"/>
        <w:rPr>
          <w:rFonts w:eastAsia="Calibri" w:cs="Times New Roman"/>
        </w:rPr>
      </w:pPr>
    </w:p>
    <w:tbl>
      <w:tblPr>
        <w:tblW w:w="10065" w:type="dxa"/>
        <w:tblInd w:w="-5" w:type="dxa"/>
        <w:tblCellMar>
          <w:left w:w="0" w:type="dxa"/>
          <w:right w:w="0" w:type="dxa"/>
        </w:tblCellMar>
        <w:tblLook w:val="04A0"/>
      </w:tblPr>
      <w:tblGrid>
        <w:gridCol w:w="2552"/>
        <w:gridCol w:w="1134"/>
        <w:gridCol w:w="1134"/>
        <w:gridCol w:w="1560"/>
        <w:gridCol w:w="1134"/>
        <w:gridCol w:w="1134"/>
        <w:gridCol w:w="1417"/>
      </w:tblGrid>
      <w:tr w14:paraId="75E2A789" w14:textId="77777777" w:rsidTr="005B6448">
        <w:tblPrEx>
          <w:tblW w:w="10065" w:type="dxa"/>
          <w:tblInd w:w="-5" w:type="dxa"/>
          <w:tblCellMar>
            <w:left w:w="0" w:type="dxa"/>
            <w:right w:w="0" w:type="dxa"/>
          </w:tblCellMar>
          <w:tblLook w:val="04A0"/>
        </w:tblPrEx>
        <w:trPr>
          <w:trHeight w:val="254"/>
        </w:trPr>
        <w:tc>
          <w:tcPr>
            <w:tcW w:w="255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4D60AA" w:rsidP="0027069D" w14:paraId="03BFF958" w14:textId="77777777">
            <w:pPr>
              <w:spacing w:after="0" w:line="252" w:lineRule="auto"/>
              <w:contextualSpacing/>
              <w:rPr>
                <w:b/>
                <w:bCs/>
              </w:rPr>
            </w:pPr>
            <w:bookmarkStart w:id="11" w:name="_Hlk111648915"/>
            <w:r>
              <w:rPr>
                <w:b/>
                <w:bCs/>
              </w:rPr>
              <w:t>Key Performance Indicator</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D60AA" w:rsidP="0027069D" w14:paraId="76CD5957" w14:textId="77777777">
            <w:pPr>
              <w:spacing w:after="0" w:line="252" w:lineRule="auto"/>
              <w:rPr>
                <w:b/>
                <w:bCs/>
              </w:rPr>
            </w:pPr>
            <w:r>
              <w:rPr>
                <w:b/>
                <w:bCs/>
                <w:color w:val="000000"/>
              </w:rPr>
              <w:t>Polarity</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D60AA" w:rsidP="0027069D" w14:paraId="3EE95D89" w14:textId="77777777">
            <w:pPr>
              <w:spacing w:after="0" w:line="252" w:lineRule="auto"/>
              <w:rPr>
                <w:b/>
                <w:bCs/>
              </w:rPr>
            </w:pPr>
            <w:r>
              <w:rPr>
                <w:b/>
                <w:bCs/>
                <w:color w:val="000000"/>
              </w:rPr>
              <w:t>Target</w:t>
            </w:r>
          </w:p>
        </w:tc>
        <w:tc>
          <w:tcPr>
            <w:tcW w:w="15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D60AA" w:rsidP="0027069D" w14:paraId="19B61F39" w14:textId="77777777">
            <w:pPr>
              <w:spacing w:after="0" w:line="252" w:lineRule="auto"/>
              <w:jc w:val="center"/>
              <w:rPr>
                <w:b/>
                <w:bCs/>
              </w:rPr>
            </w:pPr>
            <w:r>
              <w:rPr>
                <w:b/>
                <w:bCs/>
                <w:color w:val="000000"/>
              </w:rPr>
              <w:t>Previous Quarter</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A6C84" w:rsidP="003A6C84" w14:paraId="7AD887FF" w14:textId="7A597E74">
            <w:pPr>
              <w:spacing w:after="0" w:line="240" w:lineRule="auto"/>
              <w:jc w:val="center"/>
              <w:rPr>
                <w:b/>
                <w:bCs/>
              </w:rPr>
            </w:pPr>
            <w:r>
              <w:rPr>
                <w:b/>
                <w:bCs/>
                <w:color w:val="000000"/>
              </w:rPr>
              <w:t xml:space="preserve">Quarter </w:t>
            </w:r>
            <w:r w:rsidR="0064019C">
              <w:rPr>
                <w:b/>
                <w:bCs/>
                <w:color w:val="000000"/>
              </w:rPr>
              <w:t>2</w:t>
            </w:r>
          </w:p>
          <w:p w:rsidR="004D60AA" w:rsidP="003A6C84" w14:paraId="5FE64DFA" w14:textId="77777777">
            <w:pPr>
              <w:spacing w:after="0" w:line="240" w:lineRule="auto"/>
              <w:jc w:val="center"/>
              <w:rPr>
                <w:b/>
                <w:bCs/>
              </w:rPr>
            </w:pPr>
            <w:r>
              <w:rPr>
                <w:b/>
                <w:bCs/>
                <w:color w:val="000000"/>
              </w:rPr>
              <w:t>2022/23</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D60AA" w:rsidP="0027069D" w14:paraId="214A51E7" w14:textId="77777777">
            <w:pPr>
              <w:spacing w:after="0" w:line="252" w:lineRule="auto"/>
              <w:jc w:val="center"/>
              <w:rPr>
                <w:b/>
                <w:bCs/>
              </w:rPr>
            </w:pPr>
            <w:r>
              <w:rPr>
                <w:b/>
                <w:bCs/>
                <w:color w:val="000000"/>
              </w:rPr>
              <w:t xml:space="preserve">Symbol </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D60AA" w:rsidP="0027069D" w14:paraId="3B34DBD7" w14:textId="77777777">
            <w:pPr>
              <w:spacing w:after="0" w:line="252" w:lineRule="auto"/>
              <w:jc w:val="center"/>
              <w:rPr>
                <w:b/>
                <w:bCs/>
              </w:rPr>
            </w:pPr>
            <w:r>
              <w:rPr>
                <w:b/>
                <w:bCs/>
                <w:color w:val="000000"/>
              </w:rPr>
              <w:t>Trend</w:t>
            </w:r>
          </w:p>
        </w:tc>
      </w:tr>
      <w:tr w14:paraId="504F731C" w14:textId="77777777" w:rsidTr="00F01C53">
        <w:tblPrEx>
          <w:tblW w:w="10065" w:type="dxa"/>
          <w:tblInd w:w="-5" w:type="dxa"/>
          <w:tblCellMar>
            <w:left w:w="0" w:type="dxa"/>
            <w:right w:w="0" w:type="dxa"/>
          </w:tblCellMar>
          <w:tblLook w:val="04A0"/>
        </w:tblPrEx>
        <w:trPr>
          <w:trHeight w:val="83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1C53" w:rsidRPr="00810055" w:rsidP="00F01C53" w14:paraId="13422A35" w14:textId="77777777">
            <w:pPr>
              <w:spacing w:after="0" w:line="240" w:lineRule="auto"/>
            </w:pPr>
            <w:r w:rsidRPr="00810055">
              <w:rPr>
                <w:rFonts w:eastAsia="Calibri" w:cs="Times New Roman"/>
              </w:rPr>
              <w:t>% of telephone calls answered within 90 seconds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P="00F01C53" w14:paraId="6C59FB68" w14:textId="77777777">
            <w:pPr>
              <w:spacing w:after="0" w:line="240" w:lineRule="auto"/>
              <w:jc w:val="center"/>
            </w:pPr>
            <w:r w:rsidRPr="00091865">
              <w:rPr>
                <w:rFonts w:eastAsia="Calibri" w:cs="Times New Roman"/>
                <w:sz w:val="20"/>
                <w:szCs w:val="20"/>
              </w:rPr>
              <w:t>Bigger is better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P="00F01C53" w14:paraId="530EC1E9" w14:textId="5EB62EDC">
            <w:pPr>
              <w:spacing w:after="0" w:line="240" w:lineRule="auto"/>
              <w:jc w:val="center"/>
            </w:pPr>
            <w:r w:rsidRPr="00FE1175">
              <w:rPr>
                <w:rFonts w:eastAsia="Calibri" w:cs="Times New Roman"/>
              </w:rPr>
              <w:t>40%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P="00F01C53" w14:paraId="0E30964D" w14:textId="77777777">
            <w:pPr>
              <w:widowControl w:val="0"/>
              <w:spacing w:line="256" w:lineRule="auto"/>
              <w:contextualSpacing/>
              <w:jc w:val="center"/>
              <w:outlineLvl w:val="0"/>
              <w:rPr>
                <w:rFonts w:eastAsia="Calibri" w:cs="Times New Roman"/>
              </w:rPr>
            </w:pPr>
            <w:r>
              <w:rPr>
                <w:rFonts w:eastAsia="Calibri" w:cs="Times New Roman"/>
              </w:rPr>
              <w:t>11.43%</w:t>
            </w:r>
          </w:p>
          <w:p w:rsidR="00F01C53" w:rsidP="00F01C53" w14:paraId="2E9E0CF5" w14:textId="7902BC6B">
            <w:pPr>
              <w:spacing w:after="0" w:line="240" w:lineRule="auto"/>
              <w:jc w:val="center"/>
            </w:pPr>
            <w:r w:rsidRPr="00751A37">
              <w:rPr>
                <w:rFonts w:eastAsia="Calibri" w:cs="Times New Roman"/>
              </w:rPr>
              <w:t>(Q1:2022/23)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P="00F01C53" w14:paraId="0063F025" w14:textId="79035AC4">
            <w:pPr>
              <w:spacing w:after="0" w:line="240" w:lineRule="auto"/>
              <w:jc w:val="center"/>
              <w:rPr>
                <w:b/>
                <w:bCs/>
              </w:rPr>
            </w:pPr>
            <w:r>
              <w:rPr>
                <w:rFonts w:eastAsia="Calibri" w:cstheme="minorHAnsi"/>
                <w:b/>
                <w:bCs/>
              </w:rPr>
              <w:t>21.67%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P="00F01C53" w14:paraId="15006674" w14:textId="10BE01D3">
            <w:pPr>
              <w:spacing w:after="0" w:line="240" w:lineRule="auto"/>
              <w:jc w:val="center"/>
            </w:pPr>
            <w:r w:rsidRPr="00FE1175">
              <w:rPr>
                <w:rFonts w:ascii="Wingdings 3" w:eastAsia="Arial" w:hAnsi="Wingdings 3" w:cstheme="minorHAnsi"/>
                <w:color w:val="FF0000"/>
                <w:sz w:val="32"/>
                <w:szCs w:val="32"/>
              </w:rPr>
              <w:sym w:font="Wingdings 3" w:char="F070"/>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P="00F01C53" w14:paraId="4B672DA8" w14:textId="6458AF6D">
            <w:pPr>
              <w:spacing w:after="0" w:line="240" w:lineRule="auto"/>
              <w:jc w:val="center"/>
            </w:pPr>
            <w:r w:rsidRPr="008576E2">
              <w:rPr>
                <w:rFonts w:eastAsia="Calibri" w:cstheme="minorHAnsi"/>
                <w:b/>
                <w:bCs/>
                <w:color w:val="FF0000"/>
                <w:sz w:val="20"/>
                <w:szCs w:val="20"/>
              </w:rPr>
              <w:t>Worse than Q2 2021/22</w:t>
            </w:r>
          </w:p>
        </w:tc>
      </w:tr>
      <w:tr w14:paraId="26CF3F4B" w14:textId="77777777" w:rsidTr="00F01C53">
        <w:tblPrEx>
          <w:tblW w:w="10065" w:type="dxa"/>
          <w:tblInd w:w="-5" w:type="dxa"/>
          <w:tblCellMar>
            <w:left w:w="0" w:type="dxa"/>
            <w:right w:w="0" w:type="dxa"/>
          </w:tblCellMar>
          <w:tblLook w:val="04A0"/>
        </w:tblPrEx>
        <w:trPr>
          <w:trHeight w:val="83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1C53" w:rsidRPr="00810055" w:rsidP="00F01C53" w14:paraId="12FFC680" w14:textId="77777777">
            <w:pPr>
              <w:spacing w:after="0" w:line="240" w:lineRule="auto"/>
              <w:rPr>
                <w:rFonts w:eastAsia="Calibri" w:cs="Times New Roman"/>
              </w:rPr>
            </w:pPr>
            <w:r w:rsidRPr="00810055">
              <w:rPr>
                <w:rFonts w:eastAsia="Calibri" w:cs="Times New Roman"/>
              </w:rPr>
              <w:t xml:space="preserve">% of calls abandoned </w:t>
            </w:r>
            <w:r w:rsidRPr="00810055">
              <w:rPr>
                <w:rFonts w:eastAsia="Calibri" w:cs="Times New Roman"/>
              </w:rPr>
              <w:t>before being answered in a quarter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RPr="00F12C84" w:rsidP="00F01C53" w14:paraId="796EE15B" w14:textId="77777777">
            <w:pPr>
              <w:spacing w:after="0" w:line="240" w:lineRule="auto"/>
              <w:jc w:val="center"/>
              <w:rPr>
                <w:rFonts w:eastAsia="Calibri" w:cs="Times New Roman"/>
              </w:rPr>
            </w:pPr>
            <w:r w:rsidRPr="00091865">
              <w:rPr>
                <w:rFonts w:eastAsia="Calibri" w:cs="Times New Roman"/>
                <w:sz w:val="20"/>
                <w:szCs w:val="20"/>
              </w:rPr>
              <w:t>Smaller is better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RPr="00F12C84" w:rsidP="00F01C53" w14:paraId="2DC85D7D" w14:textId="207A1259">
            <w:pPr>
              <w:spacing w:after="0" w:line="240" w:lineRule="auto"/>
              <w:jc w:val="center"/>
              <w:rPr>
                <w:rFonts w:eastAsia="Calibri" w:cs="Times New Roman"/>
              </w:rPr>
            </w:pPr>
            <w:r w:rsidRPr="00FE1175">
              <w:rPr>
                <w:rFonts w:eastAsia="Calibri" w:cs="Times New Roman"/>
              </w:rPr>
              <w:t>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P="00F01C53" w14:paraId="061EB00F" w14:textId="77777777">
            <w:pPr>
              <w:widowControl w:val="0"/>
              <w:spacing w:line="256" w:lineRule="auto"/>
              <w:contextualSpacing/>
              <w:jc w:val="center"/>
              <w:outlineLvl w:val="0"/>
              <w:rPr>
                <w:rFonts w:eastAsia="Calibri" w:cs="Times New Roman"/>
              </w:rPr>
            </w:pPr>
            <w:r>
              <w:rPr>
                <w:rFonts w:eastAsia="Calibri" w:cs="Times New Roman"/>
              </w:rPr>
              <w:t>37.13%</w:t>
            </w:r>
          </w:p>
          <w:p w:rsidR="00F01C53" w:rsidP="00F01C53" w14:paraId="680F0A44" w14:textId="6254ED1D">
            <w:pPr>
              <w:widowControl w:val="0"/>
              <w:spacing w:line="256" w:lineRule="auto"/>
              <w:contextualSpacing/>
              <w:jc w:val="center"/>
              <w:outlineLvl w:val="0"/>
              <w:rPr>
                <w:rFonts w:eastAsia="Calibri" w:cs="Times New Roman"/>
              </w:rPr>
            </w:pPr>
            <w:r w:rsidRPr="00751A37">
              <w:rPr>
                <w:rFonts w:eastAsia="Calibri" w:cs="Times New Roman"/>
              </w:rPr>
              <w:t>(Q1:2022/23)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P="00F01C53" w14:paraId="2409B157" w14:textId="6F195E2E">
            <w:pPr>
              <w:spacing w:after="0" w:line="240" w:lineRule="auto"/>
              <w:jc w:val="center"/>
              <w:rPr>
                <w:rFonts w:eastAsia="Calibri" w:cs="Times New Roman"/>
                <w:b/>
                <w:bCs/>
              </w:rPr>
            </w:pPr>
            <w:r>
              <w:rPr>
                <w:rFonts w:eastAsia="Calibri" w:cstheme="minorHAnsi"/>
                <w:b/>
                <w:bCs/>
              </w:rPr>
              <w:t>29.34%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RPr="00F12C84" w:rsidP="00F01C53" w14:paraId="22E519E5" w14:textId="3B3EF316">
            <w:pPr>
              <w:spacing w:after="0" w:line="240" w:lineRule="auto"/>
              <w:jc w:val="center"/>
              <w:rPr>
                <w:rFonts w:ascii="Wingdings 3" w:eastAsia="Arial" w:hAnsi="Wingdings 3" w:cs="Times New Roman"/>
                <w:color w:val="FF0000"/>
                <w:sz w:val="32"/>
              </w:rPr>
            </w:pPr>
            <w:r w:rsidRPr="00FE1175">
              <w:rPr>
                <w:rFonts w:ascii="Wingdings 3" w:eastAsia="Arial" w:hAnsi="Wingdings 3" w:cstheme="minorHAnsi"/>
                <w:color w:val="FF0000"/>
                <w:sz w:val="32"/>
                <w:szCs w:val="32"/>
              </w:rPr>
              <w:sym w:font="Wingdings 3" w:char="F070"/>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F01C53" w:rsidRPr="00D55865" w:rsidP="00F01C53" w14:paraId="4A1F1E03" w14:textId="79006DE1">
            <w:pPr>
              <w:spacing w:after="0" w:line="240" w:lineRule="auto"/>
              <w:jc w:val="center"/>
              <w:rPr>
                <w:rFonts w:eastAsia="Calibri" w:cs="Times New Roman"/>
                <w:b/>
                <w:bCs/>
                <w:color w:val="FF0000"/>
                <w:sz w:val="20"/>
                <w:szCs w:val="20"/>
              </w:rPr>
            </w:pPr>
            <w:r w:rsidRPr="008576E2">
              <w:rPr>
                <w:rFonts w:eastAsia="Calibri" w:cstheme="minorHAnsi"/>
                <w:b/>
                <w:bCs/>
                <w:color w:val="FF0000"/>
                <w:sz w:val="20"/>
                <w:szCs w:val="20"/>
              </w:rPr>
              <w:t>Worse than Q2 2021/22</w:t>
            </w:r>
          </w:p>
        </w:tc>
      </w:tr>
      <w:tr w14:paraId="176B34A2" w14:textId="77777777" w:rsidTr="005B6448">
        <w:tblPrEx>
          <w:tblW w:w="10065" w:type="dxa"/>
          <w:tblInd w:w="-5" w:type="dxa"/>
          <w:tblCellMar>
            <w:left w:w="0" w:type="dxa"/>
            <w:right w:w="0" w:type="dxa"/>
          </w:tblCellMar>
          <w:tblLook w:val="04A0"/>
        </w:tblPrEx>
        <w:trPr>
          <w:trHeight w:val="54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0055" w:rsidP="00810055" w14:paraId="77BBF0CA" w14:textId="77777777">
            <w:pPr>
              <w:rPr>
                <w:rFonts w:ascii="Arial" w:hAnsi="Arial" w:cs="Arial"/>
                <w:b/>
                <w:bCs/>
              </w:rPr>
            </w:pPr>
            <w:r>
              <w:rPr>
                <w:rFonts w:ascii="Arial" w:hAnsi="Arial" w:cs="Arial"/>
                <w:b/>
                <w:bCs/>
              </w:rPr>
              <w:t>Reason Below Target</w:t>
            </w:r>
          </w:p>
        </w:tc>
        <w:tc>
          <w:tcPr>
            <w:tcW w:w="7513" w:type="dxa"/>
            <w:gridSpan w:val="6"/>
            <w:tcBorders>
              <w:top w:val="nil"/>
              <w:left w:val="nil"/>
              <w:bottom w:val="single" w:sz="8" w:space="0" w:color="auto"/>
              <w:right w:val="single" w:sz="8" w:space="0" w:color="auto"/>
            </w:tcBorders>
            <w:tcMar>
              <w:top w:w="0" w:type="dxa"/>
              <w:left w:w="108" w:type="dxa"/>
              <w:bottom w:w="0" w:type="dxa"/>
              <w:right w:w="108" w:type="dxa"/>
            </w:tcMar>
          </w:tcPr>
          <w:p w:rsidR="00C11F61" w:rsidP="00810055" w14:paraId="33F5A044" w14:textId="383EF364">
            <w:pPr>
              <w:spacing w:after="0" w:line="240" w:lineRule="auto"/>
            </w:pPr>
            <w:r w:rsidRPr="00E342FC">
              <w:t xml:space="preserve">The performance for the two indicators above </w:t>
            </w:r>
            <w:r w:rsidR="00061577">
              <w:t>are</w:t>
            </w:r>
            <w:r w:rsidR="00E342FC">
              <w:t xml:space="preserve"> showing a trend of positive improvement when compared to the previous peri</w:t>
            </w:r>
            <w:r>
              <w:t xml:space="preserve">od, however, </w:t>
            </w:r>
            <w:r w:rsidR="00061577">
              <w:t xml:space="preserve">they </w:t>
            </w:r>
            <w:r>
              <w:t xml:space="preserve">remain below target. </w:t>
            </w:r>
          </w:p>
          <w:p w:rsidR="00C11F61" w:rsidP="00810055" w14:paraId="60EE488E" w14:textId="77777777">
            <w:pPr>
              <w:spacing w:after="0" w:line="240" w:lineRule="auto"/>
            </w:pPr>
          </w:p>
          <w:p w:rsidR="00317366" w:rsidRPr="0076759A" w:rsidP="00C11F61" w14:paraId="28A882E6" w14:textId="7603A701">
            <w:pPr>
              <w:spacing w:after="0" w:line="240" w:lineRule="auto"/>
            </w:pPr>
            <w:r>
              <w:t xml:space="preserve">Call volumes remain high as a result of increased demand from customers </w:t>
            </w:r>
            <w:r w:rsidR="00E40C51">
              <w:t xml:space="preserve">seeking information on government initiatives such as the Council Tax rebate. In </w:t>
            </w:r>
            <w:r>
              <w:t>addition to the increase in demand, there have been a number of long term absences</w:t>
            </w:r>
            <w:r w:rsidR="00061577">
              <w:t xml:space="preserve"> within the service</w:t>
            </w:r>
            <w:r>
              <w:t xml:space="preserve"> which has impacted on capacity. </w:t>
            </w:r>
          </w:p>
          <w:p w:rsidR="0076759A" w:rsidRPr="0064019C" w:rsidP="00C11F61" w14:paraId="3A5CDBDB" w14:textId="5BD22A2A">
            <w:pPr>
              <w:spacing w:after="0" w:line="240" w:lineRule="auto"/>
              <w:rPr>
                <w:color w:val="FF0000"/>
                <w:highlight w:val="yellow"/>
              </w:rPr>
            </w:pPr>
          </w:p>
        </w:tc>
      </w:tr>
      <w:tr w14:paraId="7BA15ADF" w14:textId="77777777" w:rsidTr="005B6448">
        <w:tblPrEx>
          <w:tblW w:w="10065" w:type="dxa"/>
          <w:tblInd w:w="-5" w:type="dxa"/>
          <w:tblCellMar>
            <w:left w:w="0" w:type="dxa"/>
            <w:right w:w="0" w:type="dxa"/>
          </w:tblCellMar>
          <w:tblLook w:val="04A0"/>
        </w:tblPrEx>
        <w:trPr>
          <w:trHeight w:val="54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055" w:rsidP="00810055" w14:paraId="06CEE453" w14:textId="77777777">
            <w:pPr>
              <w:rPr>
                <w:color w:val="FF0000"/>
              </w:rPr>
            </w:pPr>
            <w:r>
              <w:rPr>
                <w:rFonts w:ascii="Arial" w:hAnsi="Arial" w:cs="Arial"/>
                <w:b/>
                <w:bCs/>
              </w:rPr>
              <w:t>Action Plan:</w:t>
            </w:r>
          </w:p>
        </w:tc>
        <w:tc>
          <w:tcPr>
            <w:tcW w:w="7513" w:type="dxa"/>
            <w:gridSpan w:val="6"/>
            <w:tcBorders>
              <w:top w:val="nil"/>
              <w:left w:val="nil"/>
              <w:bottom w:val="single" w:sz="8" w:space="0" w:color="auto"/>
              <w:right w:val="single" w:sz="8" w:space="0" w:color="auto"/>
            </w:tcBorders>
            <w:tcMar>
              <w:top w:w="0" w:type="dxa"/>
              <w:left w:w="108" w:type="dxa"/>
              <w:bottom w:w="0" w:type="dxa"/>
              <w:right w:w="108" w:type="dxa"/>
            </w:tcMar>
          </w:tcPr>
          <w:p w:rsidR="007A7F6F" w:rsidP="007A7F6F" w14:paraId="712A8D24" w14:textId="77777777">
            <w:pPr>
              <w:spacing w:after="0" w:line="240" w:lineRule="auto"/>
            </w:pPr>
            <w:r>
              <w:t>In response to the increase in demand a number of actions and initiatives will be put in plac</w:t>
            </w:r>
            <w:r>
              <w:t>e to help the council meet its targets:</w:t>
            </w:r>
          </w:p>
          <w:p w:rsidR="007A7F6F" w:rsidP="007A7F6F" w14:paraId="08759D63" w14:textId="77777777">
            <w:pPr>
              <w:spacing w:after="0" w:line="240" w:lineRule="auto"/>
            </w:pPr>
          </w:p>
          <w:p w:rsidR="005B1304" w:rsidP="007A7F6F" w14:paraId="368F8ADB" w14:textId="3ED469C4">
            <w:pPr>
              <w:pStyle w:val="ListParagraph"/>
              <w:numPr>
                <w:ilvl w:val="0"/>
                <w:numId w:val="34"/>
              </w:numPr>
              <w:spacing w:after="0" w:line="240" w:lineRule="auto"/>
            </w:pPr>
            <w:r>
              <w:t xml:space="preserve">Capacity planning and call volumes will continue to </w:t>
            </w:r>
            <w:r w:rsidR="004D550B">
              <w:t>be monitored</w:t>
            </w:r>
            <w:r>
              <w:t xml:space="preserve"> closely. Further capacity has been provided through the shared service model, which identifies that Customer Services and Revenues and Benefits are one shared team and that staff will have specialisms on a particular area. An enhanced </w:t>
            </w:r>
            <w:r w:rsidR="00226988">
              <w:t>telephony</w:t>
            </w:r>
            <w:r>
              <w:t xml:space="preserve"> system wil</w:t>
            </w:r>
            <w:r>
              <w:t>l be implemented over quarter three, providing the capability for all staff to answer simple calls from customers, however more complex or specialised enquiries will be routed directly to a subject specialist (e.g. Revenues and Benefits)</w:t>
            </w:r>
          </w:p>
          <w:p w:rsidR="005B1304" w:rsidP="005B1304" w14:paraId="08798A6B" w14:textId="77777777">
            <w:pPr>
              <w:pStyle w:val="ListParagraph"/>
              <w:spacing w:after="0" w:line="240" w:lineRule="auto"/>
            </w:pPr>
          </w:p>
          <w:p w:rsidR="007A7F6F" w:rsidP="007A7F6F" w14:paraId="05D9EE52" w14:textId="77777777">
            <w:pPr>
              <w:pStyle w:val="ListParagraph"/>
              <w:numPr>
                <w:ilvl w:val="0"/>
                <w:numId w:val="34"/>
              </w:numPr>
              <w:spacing w:after="0" w:line="240" w:lineRule="auto"/>
            </w:pPr>
            <w:r>
              <w:t xml:space="preserve">Additional hours </w:t>
            </w:r>
            <w:r>
              <w:t>continue to be offered to employees across both councils to further respond to any increases in demand.</w:t>
            </w:r>
          </w:p>
          <w:p w:rsidR="007A7F6F" w:rsidP="007A7F6F" w14:paraId="14988241" w14:textId="77777777">
            <w:pPr>
              <w:pStyle w:val="ListParagraph"/>
            </w:pPr>
          </w:p>
          <w:p w:rsidR="007A7F6F" w:rsidP="007A7F6F" w14:paraId="11421228" w14:textId="002D4CBA">
            <w:pPr>
              <w:pStyle w:val="ListParagraph"/>
              <w:numPr>
                <w:ilvl w:val="0"/>
                <w:numId w:val="34"/>
              </w:numPr>
              <w:spacing w:after="0" w:line="240" w:lineRule="auto"/>
            </w:pPr>
            <w:r>
              <w:t xml:space="preserve">Recruitment </w:t>
            </w:r>
            <w:r w:rsidR="005B1304">
              <w:t xml:space="preserve">is </w:t>
            </w:r>
            <w:r w:rsidR="00F314CA">
              <w:t>on-going</w:t>
            </w:r>
            <w:r w:rsidR="005B1304">
              <w:t xml:space="preserve"> </w:t>
            </w:r>
            <w:r>
              <w:t>to fill</w:t>
            </w:r>
            <w:r w:rsidR="005B1304">
              <w:t xml:space="preserve"> all</w:t>
            </w:r>
            <w:r>
              <w:t xml:space="preserve"> fixed term / permanent vacancies across the service, and interim resourcing opportunities are being progressed with</w:t>
            </w:r>
            <w:r>
              <w:t xml:space="preserve"> partners. Appointments to the apprenticeship programme of 12 new posts to provide additional resource for the service </w:t>
            </w:r>
            <w:r w:rsidR="005B1304">
              <w:t xml:space="preserve">completed </w:t>
            </w:r>
            <w:r>
              <w:t>in quarter two.</w:t>
            </w:r>
          </w:p>
          <w:p w:rsidR="007A7F6F" w:rsidP="007A7F6F" w14:paraId="3111A6F5" w14:textId="77777777">
            <w:pPr>
              <w:spacing w:after="0" w:line="240" w:lineRule="auto"/>
            </w:pPr>
          </w:p>
          <w:p w:rsidR="00F314CA" w:rsidP="00FD3C9F" w14:paraId="44F7ABCE" w14:textId="22BE0AF9">
            <w:pPr>
              <w:pStyle w:val="Default"/>
              <w:rPr>
                <w:rFonts w:asciiTheme="minorHAnsi" w:hAnsiTheme="minorHAnsi" w:cstheme="minorBidi"/>
                <w:color w:val="auto"/>
                <w:sz w:val="22"/>
                <w:szCs w:val="22"/>
              </w:rPr>
            </w:pPr>
            <w:r w:rsidRPr="00FD3C9F">
              <w:rPr>
                <w:rFonts w:asciiTheme="minorHAnsi" w:hAnsiTheme="minorHAnsi" w:cstheme="minorBidi"/>
                <w:color w:val="auto"/>
                <w:sz w:val="22"/>
                <w:szCs w:val="22"/>
              </w:rPr>
              <w:t xml:space="preserve">The </w:t>
            </w:r>
            <w:r>
              <w:rPr>
                <w:rFonts w:asciiTheme="minorHAnsi" w:hAnsiTheme="minorHAnsi" w:cstheme="minorBidi"/>
                <w:color w:val="auto"/>
                <w:sz w:val="22"/>
                <w:szCs w:val="22"/>
              </w:rPr>
              <w:t>d</w:t>
            </w:r>
            <w:r w:rsidRPr="00FD3C9F">
              <w:rPr>
                <w:rFonts w:asciiTheme="minorHAnsi" w:hAnsiTheme="minorHAnsi" w:cstheme="minorBidi"/>
                <w:color w:val="auto"/>
                <w:sz w:val="22"/>
                <w:szCs w:val="22"/>
              </w:rPr>
              <w:t>ata indicates a trend of positive improvement</w:t>
            </w:r>
            <w:r>
              <w:rPr>
                <w:rFonts w:asciiTheme="minorHAnsi" w:hAnsiTheme="minorHAnsi" w:cstheme="minorBidi"/>
                <w:color w:val="auto"/>
                <w:sz w:val="22"/>
                <w:szCs w:val="22"/>
              </w:rPr>
              <w:t xml:space="preserve"> from the beginning of the quarter (July)</w:t>
            </w:r>
            <w:r w:rsidR="00226988">
              <w:rPr>
                <w:rFonts w:asciiTheme="minorHAnsi" w:hAnsiTheme="minorHAnsi" w:cstheme="minorBidi"/>
                <w:color w:val="auto"/>
                <w:sz w:val="22"/>
                <w:szCs w:val="22"/>
              </w:rPr>
              <w:t xml:space="preserve"> to the </w:t>
            </w:r>
            <w:r w:rsidR="00DA3976">
              <w:rPr>
                <w:rFonts w:asciiTheme="minorHAnsi" w:hAnsiTheme="minorHAnsi" w:cstheme="minorBidi"/>
                <w:color w:val="auto"/>
                <w:sz w:val="22"/>
                <w:szCs w:val="22"/>
              </w:rPr>
              <w:t xml:space="preserve">end of the </w:t>
            </w:r>
            <w:r w:rsidR="00226988">
              <w:rPr>
                <w:rFonts w:asciiTheme="minorHAnsi" w:hAnsiTheme="minorHAnsi" w:cstheme="minorBidi"/>
                <w:color w:val="auto"/>
                <w:sz w:val="22"/>
                <w:szCs w:val="22"/>
              </w:rPr>
              <w:t>quarter</w:t>
            </w:r>
            <w:r w:rsidR="00DA3976">
              <w:rPr>
                <w:rFonts w:asciiTheme="minorHAnsi" w:hAnsiTheme="minorHAnsi" w:cstheme="minorBidi"/>
                <w:color w:val="auto"/>
                <w:sz w:val="22"/>
                <w:szCs w:val="22"/>
              </w:rPr>
              <w:t xml:space="preserve"> </w:t>
            </w:r>
            <w:r w:rsidR="00226988">
              <w:rPr>
                <w:rFonts w:asciiTheme="minorHAnsi" w:hAnsiTheme="minorHAnsi" w:cstheme="minorBidi"/>
                <w:color w:val="auto"/>
                <w:sz w:val="22"/>
                <w:szCs w:val="22"/>
              </w:rPr>
              <w:t xml:space="preserve">(September). The </w:t>
            </w:r>
            <w:r w:rsidRPr="00FD3C9F" w:rsidR="00226988">
              <w:rPr>
                <w:rFonts w:asciiTheme="minorHAnsi" w:hAnsiTheme="minorHAnsi" w:cstheme="minorBidi"/>
                <w:color w:val="auto"/>
                <w:sz w:val="22"/>
                <w:szCs w:val="22"/>
              </w:rPr>
              <w:t>percentage</w:t>
            </w:r>
            <w:r w:rsidRPr="00FD3C9F">
              <w:rPr>
                <w:rFonts w:asciiTheme="minorHAnsi" w:hAnsiTheme="minorHAnsi" w:cstheme="minorBidi"/>
                <w:color w:val="auto"/>
                <w:sz w:val="22"/>
                <w:szCs w:val="22"/>
              </w:rPr>
              <w:t xml:space="preserve"> of calls answered within 90 seconds</w:t>
            </w:r>
            <w:r w:rsidR="00226988">
              <w:rPr>
                <w:rFonts w:asciiTheme="minorHAnsi" w:hAnsiTheme="minorHAnsi" w:cstheme="minorBidi"/>
                <w:color w:val="auto"/>
                <w:sz w:val="22"/>
                <w:szCs w:val="22"/>
              </w:rPr>
              <w:t xml:space="preserve"> has</w:t>
            </w:r>
            <w:r w:rsidRPr="00FD3C9F">
              <w:rPr>
                <w:rFonts w:asciiTheme="minorHAnsi" w:hAnsiTheme="minorHAnsi" w:cstheme="minorBidi"/>
                <w:color w:val="auto"/>
                <w:sz w:val="22"/>
                <w:szCs w:val="22"/>
              </w:rPr>
              <w:t xml:space="preserve"> </w:t>
            </w:r>
            <w:r w:rsidR="00226988">
              <w:rPr>
                <w:rFonts w:asciiTheme="minorHAnsi" w:hAnsiTheme="minorHAnsi" w:cstheme="minorBidi"/>
                <w:color w:val="auto"/>
                <w:sz w:val="22"/>
                <w:szCs w:val="22"/>
              </w:rPr>
              <w:t>improved from 11.68%(July) to</w:t>
            </w:r>
            <w:r w:rsidRPr="00FD3C9F">
              <w:rPr>
                <w:rFonts w:asciiTheme="minorHAnsi" w:hAnsiTheme="minorHAnsi" w:cstheme="minorBidi"/>
                <w:color w:val="auto"/>
                <w:sz w:val="22"/>
                <w:szCs w:val="22"/>
              </w:rPr>
              <w:t xml:space="preserve"> </w:t>
            </w:r>
            <w:r w:rsidR="00226988">
              <w:rPr>
                <w:rFonts w:asciiTheme="minorHAnsi" w:hAnsiTheme="minorHAnsi" w:cstheme="minorBidi"/>
                <w:color w:val="auto"/>
                <w:sz w:val="22"/>
                <w:szCs w:val="22"/>
              </w:rPr>
              <w:t>25.29</w:t>
            </w:r>
            <w:r w:rsidRPr="00FD3C9F">
              <w:rPr>
                <w:rFonts w:asciiTheme="minorHAnsi" w:hAnsiTheme="minorHAnsi" w:cstheme="minorBidi"/>
                <w:color w:val="auto"/>
                <w:sz w:val="22"/>
                <w:szCs w:val="22"/>
              </w:rPr>
              <w:t>%</w:t>
            </w:r>
            <w:r w:rsidR="00226988">
              <w:rPr>
                <w:rFonts w:asciiTheme="minorHAnsi" w:hAnsiTheme="minorHAnsi" w:cstheme="minorBidi"/>
                <w:color w:val="auto"/>
                <w:sz w:val="22"/>
                <w:szCs w:val="22"/>
              </w:rPr>
              <w:t xml:space="preserve"> (September). T</w:t>
            </w:r>
            <w:r w:rsidRPr="00FD3C9F">
              <w:rPr>
                <w:rFonts w:asciiTheme="minorHAnsi" w:hAnsiTheme="minorHAnsi" w:cstheme="minorBidi"/>
                <w:color w:val="auto"/>
                <w:sz w:val="22"/>
                <w:szCs w:val="22"/>
              </w:rPr>
              <w:t xml:space="preserve">he percentage of calls abandoned has steadily decreased </w:t>
            </w:r>
            <w:r w:rsidR="00226988">
              <w:rPr>
                <w:rFonts w:asciiTheme="minorHAnsi" w:hAnsiTheme="minorHAnsi" w:cstheme="minorBidi"/>
                <w:color w:val="auto"/>
                <w:sz w:val="22"/>
                <w:szCs w:val="22"/>
              </w:rPr>
              <w:t>from 35.58% (July) down to</w:t>
            </w:r>
            <w:r w:rsidRPr="00FD3C9F" w:rsidR="00226988">
              <w:rPr>
                <w:rFonts w:asciiTheme="minorHAnsi" w:hAnsiTheme="minorHAnsi" w:cstheme="minorBidi"/>
                <w:color w:val="auto"/>
                <w:sz w:val="22"/>
                <w:szCs w:val="22"/>
              </w:rPr>
              <w:t xml:space="preserve"> </w:t>
            </w:r>
            <w:r w:rsidR="00226988">
              <w:rPr>
                <w:rFonts w:asciiTheme="minorHAnsi" w:hAnsiTheme="minorHAnsi" w:cstheme="minorBidi"/>
                <w:color w:val="auto"/>
                <w:sz w:val="22"/>
                <w:szCs w:val="22"/>
              </w:rPr>
              <w:t>24.34</w:t>
            </w:r>
            <w:r w:rsidRPr="00FD3C9F" w:rsidR="00226988">
              <w:rPr>
                <w:rFonts w:asciiTheme="minorHAnsi" w:hAnsiTheme="minorHAnsi" w:cstheme="minorBidi"/>
                <w:color w:val="auto"/>
                <w:sz w:val="22"/>
                <w:szCs w:val="22"/>
              </w:rPr>
              <w:t>%</w:t>
            </w:r>
            <w:r w:rsidR="00DA3976">
              <w:rPr>
                <w:rFonts w:asciiTheme="minorHAnsi" w:hAnsiTheme="minorHAnsi" w:cstheme="minorBidi"/>
                <w:color w:val="auto"/>
                <w:sz w:val="22"/>
                <w:szCs w:val="22"/>
              </w:rPr>
              <w:t xml:space="preserve"> </w:t>
            </w:r>
            <w:r w:rsidR="00226988">
              <w:rPr>
                <w:rFonts w:asciiTheme="minorHAnsi" w:hAnsiTheme="minorHAnsi" w:cstheme="minorBidi"/>
                <w:color w:val="auto"/>
                <w:sz w:val="22"/>
                <w:szCs w:val="22"/>
              </w:rPr>
              <w:t>(September).</w:t>
            </w:r>
          </w:p>
          <w:p w:rsidR="00F314CA" w:rsidP="00FD3C9F" w14:paraId="09BF9409" w14:textId="77777777">
            <w:pPr>
              <w:pStyle w:val="Default"/>
            </w:pPr>
          </w:p>
          <w:p w:rsidR="007A7F6F" w:rsidRPr="00853B1A" w:rsidP="00FD3C9F" w14:paraId="2EBF4CB8" w14:textId="5D21C064">
            <w:pPr>
              <w:pStyle w:val="Default"/>
              <w:rPr>
                <w:rFonts w:asciiTheme="minorHAnsi" w:hAnsiTheme="minorHAnsi" w:cstheme="minorBidi"/>
                <w:color w:val="auto"/>
                <w:sz w:val="22"/>
                <w:szCs w:val="22"/>
              </w:rPr>
            </w:pPr>
            <w:r w:rsidRPr="00853B1A">
              <w:rPr>
                <w:rFonts w:asciiTheme="minorHAnsi" w:hAnsiTheme="minorHAnsi" w:cstheme="minorBidi"/>
                <w:color w:val="auto"/>
                <w:sz w:val="22"/>
                <w:szCs w:val="22"/>
              </w:rPr>
              <w:t>It is anticipated that th</w:t>
            </w:r>
            <w:r w:rsidRPr="00853B1A">
              <w:rPr>
                <w:rFonts w:asciiTheme="minorHAnsi" w:hAnsiTheme="minorHAnsi" w:cstheme="minorBidi"/>
                <w:color w:val="auto"/>
                <w:sz w:val="22"/>
                <w:szCs w:val="22"/>
              </w:rPr>
              <w:t>e performance of these two indicators will continue to steadily improve as service improvements</w:t>
            </w:r>
            <w:r w:rsidRPr="00853B1A" w:rsidR="00226988">
              <w:rPr>
                <w:rFonts w:asciiTheme="minorHAnsi" w:hAnsiTheme="minorHAnsi" w:cstheme="minorBidi"/>
                <w:color w:val="auto"/>
                <w:sz w:val="22"/>
                <w:szCs w:val="22"/>
              </w:rPr>
              <w:t xml:space="preserve"> </w:t>
            </w:r>
            <w:r w:rsidRPr="00853B1A">
              <w:rPr>
                <w:rFonts w:asciiTheme="minorHAnsi" w:hAnsiTheme="minorHAnsi" w:cstheme="minorBidi"/>
                <w:color w:val="auto"/>
                <w:sz w:val="22"/>
                <w:szCs w:val="22"/>
              </w:rPr>
              <w:t xml:space="preserve">are implemented and the training and induction of newly recruited staff members </w:t>
            </w:r>
            <w:r w:rsidRPr="00853B1A" w:rsidR="00F314CA">
              <w:rPr>
                <w:rFonts w:asciiTheme="minorHAnsi" w:hAnsiTheme="minorHAnsi" w:cstheme="minorBidi"/>
                <w:color w:val="auto"/>
                <w:sz w:val="22"/>
                <w:szCs w:val="22"/>
              </w:rPr>
              <w:t>has progressed.</w:t>
            </w:r>
            <w:r w:rsidRPr="00853B1A">
              <w:rPr>
                <w:rFonts w:asciiTheme="minorHAnsi" w:hAnsiTheme="minorHAnsi" w:cstheme="minorBidi"/>
                <w:color w:val="auto"/>
                <w:sz w:val="22"/>
                <w:szCs w:val="22"/>
              </w:rPr>
              <w:t xml:space="preserve"> </w:t>
            </w:r>
            <w:r w:rsidRPr="00853B1A" w:rsidR="00226988">
              <w:rPr>
                <w:rFonts w:asciiTheme="minorHAnsi" w:hAnsiTheme="minorHAnsi" w:cstheme="minorBidi"/>
                <w:color w:val="auto"/>
                <w:sz w:val="22"/>
                <w:szCs w:val="22"/>
              </w:rPr>
              <w:t>These improvements should be implemented and well established by quarter fou</w:t>
            </w:r>
            <w:r w:rsidRPr="00853B1A" w:rsidR="002440DC">
              <w:rPr>
                <w:rFonts w:asciiTheme="minorHAnsi" w:hAnsiTheme="minorHAnsi" w:cstheme="minorBidi"/>
                <w:color w:val="auto"/>
                <w:sz w:val="22"/>
                <w:szCs w:val="22"/>
              </w:rPr>
              <w:t>r.</w:t>
            </w:r>
          </w:p>
          <w:p w:rsidR="00061577" w:rsidRPr="00E40C51" w:rsidP="00061577" w14:paraId="527207C8" w14:textId="217CF9BA">
            <w:pPr>
              <w:spacing w:after="0" w:line="240" w:lineRule="auto"/>
            </w:pPr>
          </w:p>
        </w:tc>
      </w:tr>
      <w:bookmarkEnd w:id="11"/>
    </w:tbl>
    <w:p w:rsidR="00810055" w14:paraId="78280755" w14:textId="77777777"/>
    <w:tbl>
      <w:tblPr>
        <w:tblW w:w="9956" w:type="dxa"/>
        <w:tblInd w:w="-5" w:type="dxa"/>
        <w:tblCellMar>
          <w:left w:w="0" w:type="dxa"/>
          <w:right w:w="0" w:type="dxa"/>
        </w:tblCellMar>
        <w:tblLook w:val="04A0"/>
      </w:tblPr>
      <w:tblGrid>
        <w:gridCol w:w="2115"/>
        <w:gridCol w:w="1541"/>
        <w:gridCol w:w="1118"/>
        <w:gridCol w:w="1716"/>
        <w:gridCol w:w="1297"/>
        <w:gridCol w:w="1011"/>
        <w:gridCol w:w="1152"/>
        <w:gridCol w:w="6"/>
      </w:tblGrid>
      <w:tr w14:paraId="62799024" w14:textId="77777777" w:rsidTr="003E2A47">
        <w:tblPrEx>
          <w:tblW w:w="9956" w:type="dxa"/>
          <w:tblInd w:w="-5" w:type="dxa"/>
          <w:tblCellMar>
            <w:left w:w="0" w:type="dxa"/>
            <w:right w:w="0" w:type="dxa"/>
          </w:tblCellMar>
          <w:tblLook w:val="04A0"/>
        </w:tblPrEx>
        <w:trPr>
          <w:gridAfter w:val="1"/>
          <w:wAfter w:w="6" w:type="dxa"/>
          <w:trHeight w:val="254"/>
          <w:tblHeader/>
        </w:trPr>
        <w:tc>
          <w:tcPr>
            <w:tcW w:w="211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5D439E" w:rsidP="00291E16" w14:paraId="0EC34D9F" w14:textId="77777777">
            <w:pPr>
              <w:spacing w:after="160" w:line="252" w:lineRule="auto"/>
              <w:contextualSpacing/>
              <w:rPr>
                <w:b/>
                <w:bCs/>
              </w:rPr>
            </w:pPr>
            <w:r>
              <w:rPr>
                <w:b/>
                <w:bCs/>
              </w:rPr>
              <w:t>Key Performance Indicator</w:t>
            </w:r>
          </w:p>
        </w:tc>
        <w:tc>
          <w:tcPr>
            <w:tcW w:w="154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5D439E" w:rsidP="00291E16" w14:paraId="758573A6" w14:textId="77777777">
            <w:pPr>
              <w:spacing w:after="0" w:line="252" w:lineRule="auto"/>
              <w:rPr>
                <w:b/>
                <w:bCs/>
              </w:rPr>
            </w:pPr>
            <w:r>
              <w:rPr>
                <w:b/>
                <w:bCs/>
                <w:color w:val="000000"/>
              </w:rPr>
              <w:t>Polarity</w:t>
            </w:r>
          </w:p>
        </w:tc>
        <w:tc>
          <w:tcPr>
            <w:tcW w:w="1118"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5D439E" w:rsidP="00291E16" w14:paraId="1BB28B90" w14:textId="77777777">
            <w:pPr>
              <w:spacing w:after="0" w:line="252" w:lineRule="auto"/>
              <w:rPr>
                <w:b/>
                <w:bCs/>
              </w:rPr>
            </w:pPr>
            <w:r>
              <w:rPr>
                <w:b/>
                <w:bCs/>
                <w:color w:val="000000"/>
              </w:rPr>
              <w:t>Target</w:t>
            </w:r>
          </w:p>
        </w:tc>
        <w:tc>
          <w:tcPr>
            <w:tcW w:w="1716"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5D439E" w:rsidP="00291E16" w14:paraId="2BA0C84A" w14:textId="77777777">
            <w:pPr>
              <w:spacing w:after="0" w:line="252" w:lineRule="auto"/>
              <w:jc w:val="center"/>
              <w:rPr>
                <w:b/>
                <w:bCs/>
              </w:rPr>
            </w:pPr>
            <w:r>
              <w:rPr>
                <w:b/>
                <w:bCs/>
                <w:color w:val="000000"/>
              </w:rPr>
              <w:t>Previous Quarter</w:t>
            </w:r>
          </w:p>
        </w:tc>
        <w:tc>
          <w:tcPr>
            <w:tcW w:w="1297"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5D439E" w:rsidP="00291E16" w14:paraId="52308278" w14:textId="77777777">
            <w:pPr>
              <w:spacing w:after="0" w:line="240" w:lineRule="auto"/>
              <w:jc w:val="center"/>
              <w:rPr>
                <w:b/>
                <w:bCs/>
              </w:rPr>
            </w:pPr>
            <w:r>
              <w:rPr>
                <w:b/>
                <w:bCs/>
                <w:color w:val="000000"/>
              </w:rPr>
              <w:t>Quarter 2</w:t>
            </w:r>
          </w:p>
          <w:p w:rsidR="005D439E" w:rsidP="00291E16" w14:paraId="2A0A094A" w14:textId="77777777">
            <w:pPr>
              <w:spacing w:after="0" w:line="240" w:lineRule="auto"/>
              <w:jc w:val="center"/>
              <w:rPr>
                <w:b/>
                <w:bCs/>
              </w:rPr>
            </w:pPr>
            <w:r>
              <w:rPr>
                <w:b/>
                <w:bCs/>
                <w:color w:val="000000"/>
              </w:rPr>
              <w:t>2022/23</w:t>
            </w:r>
          </w:p>
        </w:tc>
        <w:tc>
          <w:tcPr>
            <w:tcW w:w="1011"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5D439E" w:rsidP="00291E16" w14:paraId="5E133199" w14:textId="77777777">
            <w:pPr>
              <w:spacing w:after="0" w:line="252" w:lineRule="auto"/>
              <w:jc w:val="center"/>
              <w:rPr>
                <w:b/>
                <w:bCs/>
              </w:rPr>
            </w:pPr>
            <w:r>
              <w:rPr>
                <w:b/>
                <w:bCs/>
                <w:color w:val="000000"/>
              </w:rPr>
              <w:t xml:space="preserve">Symbol </w:t>
            </w:r>
          </w:p>
        </w:tc>
        <w:tc>
          <w:tcPr>
            <w:tcW w:w="1152"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rsidR="005D439E" w:rsidP="00291E16" w14:paraId="2162B2FE" w14:textId="77777777">
            <w:pPr>
              <w:spacing w:after="0" w:line="252" w:lineRule="auto"/>
              <w:jc w:val="center"/>
              <w:rPr>
                <w:b/>
                <w:bCs/>
              </w:rPr>
            </w:pPr>
            <w:r>
              <w:rPr>
                <w:b/>
                <w:bCs/>
                <w:color w:val="000000"/>
              </w:rPr>
              <w:t>Trend</w:t>
            </w:r>
          </w:p>
        </w:tc>
      </w:tr>
      <w:tr w14:paraId="477BAA4B" w14:textId="77777777" w:rsidTr="003E2A47">
        <w:tblPrEx>
          <w:tblW w:w="9956" w:type="dxa"/>
          <w:tblInd w:w="-5" w:type="dxa"/>
          <w:tblCellMar>
            <w:left w:w="0" w:type="dxa"/>
            <w:right w:w="0" w:type="dxa"/>
          </w:tblCellMar>
          <w:tblLook w:val="04A0"/>
        </w:tblPrEx>
        <w:trPr>
          <w:gridAfter w:val="1"/>
          <w:wAfter w:w="6" w:type="dxa"/>
          <w:trHeight w:val="834"/>
          <w:tblHeader/>
        </w:trPr>
        <w:tc>
          <w:tcPr>
            <w:tcW w:w="2115" w:type="dxa"/>
            <w:tcBorders>
              <w:top w:val="nil"/>
              <w:left w:val="single" w:sz="8"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D439E" w:rsidRPr="00262788" w:rsidP="005D439E" w14:paraId="6C9B950F" w14:textId="43635E3B">
            <w:pPr>
              <w:spacing w:after="0" w:line="240" w:lineRule="auto"/>
              <w:rPr>
                <w:rFonts w:eastAsia="Calibri" w:cs="Times New Roman"/>
              </w:rPr>
            </w:pPr>
            <w:r w:rsidRPr="00FE1175">
              <w:rPr>
                <w:rFonts w:eastAsia="Calibri" w:cs="Times New Roman"/>
              </w:rPr>
              <w:t xml:space="preserve">Number of households in temporary accommodation at the end of the quarter  </w:t>
            </w:r>
          </w:p>
        </w:tc>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439E" w:rsidRPr="00FB1ABE" w:rsidP="003E2A47" w14:paraId="27B25471" w14:textId="5622C789">
            <w:pPr>
              <w:spacing w:after="0" w:line="240" w:lineRule="auto"/>
              <w:jc w:val="center"/>
            </w:pPr>
            <w:r w:rsidRPr="00FE1175">
              <w:rPr>
                <w:rFonts w:eastAsia="Calibri" w:cs="Times New Roman"/>
              </w:rPr>
              <w:t>Smaller is better</w:t>
            </w: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439E" w:rsidRPr="00FB1ABE" w:rsidP="003E2A47" w14:paraId="7F5E2D6B" w14:textId="0F4DC543">
            <w:pPr>
              <w:spacing w:after="0" w:line="240" w:lineRule="auto"/>
              <w:jc w:val="center"/>
            </w:pPr>
            <w:r>
              <w:rPr>
                <w:rFonts w:eastAsia="Calibri" w:cs="Times New Roman"/>
              </w:rPr>
              <w:t>44</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D439E" w:rsidP="003E2A47" w14:paraId="3F225563" w14:textId="77777777">
            <w:pPr>
              <w:widowControl w:val="0"/>
              <w:spacing w:line="256" w:lineRule="auto"/>
              <w:contextualSpacing/>
              <w:jc w:val="center"/>
              <w:outlineLvl w:val="0"/>
              <w:rPr>
                <w:rFonts w:eastAsia="Calibri" w:cs="Times New Roman"/>
              </w:rPr>
            </w:pPr>
            <w:r>
              <w:rPr>
                <w:rFonts w:eastAsia="Calibri" w:cs="Times New Roman"/>
              </w:rPr>
              <w:t>43</w:t>
            </w:r>
          </w:p>
          <w:p w:rsidR="005D439E" w:rsidRPr="00FB1ABE" w:rsidP="003E2A47" w14:paraId="25D506A2" w14:textId="23328D5C">
            <w:pPr>
              <w:spacing w:after="0" w:line="240" w:lineRule="auto"/>
              <w:jc w:val="center"/>
            </w:pPr>
            <w:r w:rsidRPr="00751A37">
              <w:rPr>
                <w:rFonts w:eastAsia="Calibri" w:cs="Times New Roman"/>
              </w:rPr>
              <w:t>(Q1:2022/23)</w:t>
            </w:r>
          </w:p>
        </w:tc>
        <w:tc>
          <w:tcPr>
            <w:tcW w:w="12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D439E" w:rsidRPr="00FB1ABE" w:rsidP="003E2A47" w14:paraId="786C4DA3" w14:textId="6565C674">
            <w:pPr>
              <w:spacing w:after="0" w:line="240" w:lineRule="auto"/>
              <w:jc w:val="center"/>
              <w:rPr>
                <w:b/>
                <w:bCs/>
              </w:rPr>
            </w:pPr>
            <w:r>
              <w:rPr>
                <w:rFonts w:eastAsia="Calibri" w:cstheme="minorHAnsi"/>
                <w:b/>
                <w:bCs/>
              </w:rPr>
              <w:t>52</w:t>
            </w:r>
          </w:p>
        </w:tc>
        <w:tc>
          <w:tcPr>
            <w:tcW w:w="1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439E" w:rsidP="003E2A47" w14:paraId="6DEB6FC8" w14:textId="0C7B4DA6">
            <w:pPr>
              <w:spacing w:after="0" w:line="240" w:lineRule="auto"/>
              <w:jc w:val="center"/>
            </w:pPr>
            <w:r w:rsidRPr="00FE1175">
              <w:rPr>
                <w:rFonts w:ascii="Wingdings 3" w:eastAsia="Arial" w:hAnsi="Wingdings 3" w:cstheme="minorHAnsi"/>
                <w:color w:val="FF0000"/>
                <w:sz w:val="32"/>
                <w:szCs w:val="32"/>
              </w:rPr>
              <w:sym w:font="Wingdings 3" w:char="F070"/>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439E" w:rsidP="003E2A47" w14:paraId="7C2C3860" w14:textId="3396E7D8">
            <w:pPr>
              <w:spacing w:after="0" w:line="240" w:lineRule="auto"/>
              <w:jc w:val="center"/>
            </w:pPr>
            <w:r w:rsidRPr="008576E2">
              <w:rPr>
                <w:rFonts w:eastAsia="Calibri" w:cstheme="minorHAnsi"/>
                <w:b/>
                <w:bCs/>
                <w:color w:val="FF0000"/>
                <w:sz w:val="20"/>
                <w:szCs w:val="20"/>
              </w:rPr>
              <w:t>Worse than Q2 2021/22</w:t>
            </w:r>
          </w:p>
        </w:tc>
      </w:tr>
      <w:tr w14:paraId="12BBBF9D" w14:textId="77777777" w:rsidTr="00291E16">
        <w:tblPrEx>
          <w:tblW w:w="9956" w:type="dxa"/>
          <w:tblInd w:w="-5" w:type="dxa"/>
          <w:tblCellMar>
            <w:left w:w="0" w:type="dxa"/>
            <w:right w:w="0" w:type="dxa"/>
          </w:tblCellMar>
          <w:tblLook w:val="04A0"/>
        </w:tblPrEx>
        <w:trPr>
          <w:trHeight w:val="1124"/>
        </w:trPr>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439E" w:rsidP="005D439E" w14:paraId="6E40DCFB" w14:textId="77777777">
            <w:pPr>
              <w:rPr>
                <w:rFonts w:ascii="Arial" w:hAnsi="Arial" w:cs="Arial"/>
                <w:b/>
                <w:bCs/>
              </w:rPr>
            </w:pPr>
            <w:r>
              <w:rPr>
                <w:rFonts w:ascii="Arial" w:hAnsi="Arial" w:cs="Arial"/>
                <w:b/>
                <w:bCs/>
              </w:rPr>
              <w:t xml:space="preserve">Reason Below Target: </w:t>
            </w:r>
          </w:p>
        </w:tc>
        <w:tc>
          <w:tcPr>
            <w:tcW w:w="7841" w:type="dxa"/>
            <w:gridSpan w:val="7"/>
            <w:tcBorders>
              <w:top w:val="nil"/>
              <w:left w:val="nil"/>
              <w:bottom w:val="single" w:sz="8" w:space="0" w:color="auto"/>
              <w:right w:val="single" w:sz="8" w:space="0" w:color="auto"/>
            </w:tcBorders>
            <w:tcMar>
              <w:top w:w="0" w:type="dxa"/>
              <w:left w:w="108" w:type="dxa"/>
              <w:bottom w:w="0" w:type="dxa"/>
              <w:right w:w="108" w:type="dxa"/>
            </w:tcMar>
          </w:tcPr>
          <w:p w:rsidR="0006548E" w:rsidP="005D439E" w14:paraId="2045CFA4" w14:textId="5F5742D8">
            <w:pPr>
              <w:spacing w:after="0" w:line="240" w:lineRule="auto"/>
            </w:pPr>
            <w:r w:rsidRPr="00216BF3">
              <w:t xml:space="preserve">There has been an increase in the number of families in temporary accommodation when </w:t>
            </w:r>
            <w:r w:rsidRPr="00216BF3">
              <w:t>compared to the previous quarter and the same time last year.</w:t>
            </w:r>
            <w:r>
              <w:t xml:space="preserve"> This consists of households that are </w:t>
            </w:r>
            <w:r w:rsidRPr="0006548E" w:rsidR="003E2A47">
              <w:t xml:space="preserve">accommodated under statutory duties and others </w:t>
            </w:r>
            <w:r>
              <w:t>supported by</w:t>
            </w:r>
            <w:r w:rsidRPr="0006548E" w:rsidR="003E2A47">
              <w:t xml:space="preserve"> the continu</w:t>
            </w:r>
            <w:r>
              <w:t>ed</w:t>
            </w:r>
            <w:r w:rsidRPr="0006548E" w:rsidR="003E2A47">
              <w:t xml:space="preserve"> '</w:t>
            </w:r>
            <w:r>
              <w:t>e</w:t>
            </w:r>
            <w:r w:rsidRPr="0006548E" w:rsidR="003E2A47">
              <w:t>veryone in</w:t>
            </w:r>
            <w:r w:rsidR="00853B1A">
              <w:t xml:space="preserve">’ </w:t>
            </w:r>
            <w:r w:rsidRPr="0006548E" w:rsidR="003E2A47">
              <w:t>initiative</w:t>
            </w:r>
            <w:r>
              <w:t xml:space="preserve">. The numbers of properties available to support people to </w:t>
            </w:r>
            <w:r>
              <w:t xml:space="preserve">move onto in both social housing and the private rental market are limited. This is a consistent trend across Lancashire. </w:t>
            </w:r>
          </w:p>
          <w:p w:rsidR="00216BF3" w:rsidRPr="005A0668" w:rsidP="0006548E" w14:paraId="496A6BF0" w14:textId="461142AD">
            <w:pPr>
              <w:spacing w:after="0" w:line="240" w:lineRule="auto"/>
            </w:pPr>
          </w:p>
        </w:tc>
      </w:tr>
      <w:tr w14:paraId="6D234DE9" w14:textId="77777777" w:rsidTr="00291E16">
        <w:tblPrEx>
          <w:tblW w:w="9956" w:type="dxa"/>
          <w:tblInd w:w="-5" w:type="dxa"/>
          <w:tblCellMar>
            <w:left w:w="0" w:type="dxa"/>
            <w:right w:w="0" w:type="dxa"/>
          </w:tblCellMar>
          <w:tblLook w:val="04A0"/>
        </w:tblPrEx>
        <w:trPr>
          <w:trHeight w:val="1240"/>
        </w:trPr>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439E" w:rsidP="005D439E" w14:paraId="47B2B351" w14:textId="77777777">
            <w:pPr>
              <w:rPr>
                <w:color w:val="FF0000"/>
              </w:rPr>
            </w:pPr>
            <w:r>
              <w:rPr>
                <w:rFonts w:ascii="Arial" w:hAnsi="Arial" w:cs="Arial"/>
                <w:b/>
                <w:bCs/>
              </w:rPr>
              <w:t>Action Plan:</w:t>
            </w:r>
          </w:p>
        </w:tc>
        <w:tc>
          <w:tcPr>
            <w:tcW w:w="7841" w:type="dxa"/>
            <w:gridSpan w:val="7"/>
            <w:tcBorders>
              <w:top w:val="nil"/>
              <w:left w:val="nil"/>
              <w:bottom w:val="single" w:sz="8" w:space="0" w:color="auto"/>
              <w:right w:val="single" w:sz="8" w:space="0" w:color="auto"/>
            </w:tcBorders>
            <w:tcMar>
              <w:top w:w="0" w:type="dxa"/>
              <w:left w:w="108" w:type="dxa"/>
              <w:bottom w:w="0" w:type="dxa"/>
              <w:right w:w="108" w:type="dxa"/>
            </w:tcMar>
          </w:tcPr>
          <w:p w:rsidR="00216BF3" w:rsidP="005D439E" w14:paraId="4217D622" w14:textId="3713E6B7">
            <w:pPr>
              <w:spacing w:after="0" w:line="240" w:lineRule="auto"/>
            </w:pPr>
            <w:r>
              <w:t>Weekly d</w:t>
            </w:r>
            <w:r w:rsidRPr="00216BF3">
              <w:t xml:space="preserve">iscussions are taking place with one of the council’s main providers </w:t>
            </w:r>
            <w:r>
              <w:t xml:space="preserve">with the aim matching people in </w:t>
            </w:r>
            <w:r w:rsidRPr="00216BF3">
              <w:t xml:space="preserve">temporary </w:t>
            </w:r>
            <w:r>
              <w:t xml:space="preserve">accommodation to suitable properties </w:t>
            </w:r>
            <w:r w:rsidRPr="00216BF3">
              <w:t>to support families</w:t>
            </w:r>
            <w:r>
              <w:t>. In addition, monthly strategic meeting are held at the council</w:t>
            </w:r>
            <w:r w:rsidR="00482AEC">
              <w:t xml:space="preserve">, </w:t>
            </w:r>
            <w:r>
              <w:t>supported by an externa</w:t>
            </w:r>
            <w:r>
              <w:t>l consultant to review the temporary accommodation provision and how best this can be utilised.</w:t>
            </w:r>
          </w:p>
          <w:p w:rsidR="00216BF3" w:rsidRPr="0006548E" w:rsidP="005D439E" w14:paraId="44BB33A3" w14:textId="77777777">
            <w:pPr>
              <w:spacing w:after="0" w:line="240" w:lineRule="auto"/>
            </w:pPr>
          </w:p>
          <w:p w:rsidR="00216BF3" w:rsidRPr="0006548E" w:rsidP="005D439E" w14:paraId="1584ABC1" w14:textId="1186C556">
            <w:pPr>
              <w:spacing w:after="0" w:line="240" w:lineRule="auto"/>
            </w:pPr>
            <w:r w:rsidRPr="0006548E">
              <w:t xml:space="preserve">Work has been undertaken with Lancashire County Council to commission units of accommodation for single people with complex </w:t>
            </w:r>
            <w:r w:rsidRPr="0006548E" w:rsidR="0006548E">
              <w:t>needs and</w:t>
            </w:r>
            <w:r w:rsidRPr="0006548E">
              <w:t xml:space="preserve"> to </w:t>
            </w:r>
            <w:r w:rsidRPr="0006548E" w:rsidR="0006548E">
              <w:t xml:space="preserve">address the lack of provision </w:t>
            </w:r>
            <w:r w:rsidR="0006548E">
              <w:t xml:space="preserve">that is </w:t>
            </w:r>
            <w:r w:rsidRPr="0006548E" w:rsidR="0006548E">
              <w:t xml:space="preserve">available generally. A provider and a property have been identified as part of the commission. </w:t>
            </w:r>
          </w:p>
          <w:p w:rsidR="00216BF3" w:rsidRPr="0006548E" w:rsidP="005D439E" w14:paraId="2D95F6A1" w14:textId="0B0201A4">
            <w:pPr>
              <w:spacing w:after="0" w:line="240" w:lineRule="auto"/>
            </w:pPr>
          </w:p>
        </w:tc>
      </w:tr>
    </w:tbl>
    <w:p w:rsidR="00284E95" w:rsidP="00284E95" w14:paraId="2C538962" w14:textId="0AC612CE">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42578B" w:rsidP="00887AE6" w14:paraId="1BCA49A6" w14:textId="77777777">
      <w:pPr>
        <w:pStyle w:val="ListParagraph"/>
        <w:numPr>
          <w:ilvl w:val="0"/>
          <w:numId w:val="1"/>
        </w:numPr>
        <w:tabs>
          <w:tab w:val="left" w:pos="567"/>
        </w:tabs>
        <w:spacing w:after="0" w:line="240" w:lineRule="auto"/>
        <w:ind w:left="567" w:right="-284" w:hanging="567"/>
      </w:pPr>
      <w:r>
        <w:t xml:space="preserve">The work noted in this report will have a positive impact on climate change and air quality. This </w:t>
      </w:r>
      <w:r>
        <w:t>includes the corporate project to deliver early stage decarbonisation efforts and community engagement, which includes actions to improve our environmental performance and deliver decarbonisation initiatives.</w:t>
      </w:r>
    </w:p>
    <w:p w:rsidR="004A5B5B" w:rsidRPr="004A5B5B" w:rsidP="0042578B" w14:paraId="3A781F00" w14:textId="77777777">
      <w:pPr>
        <w:pStyle w:val="ListParagraph"/>
        <w:tabs>
          <w:tab w:val="left" w:pos="567"/>
        </w:tabs>
        <w:spacing w:after="0" w:line="240" w:lineRule="auto"/>
        <w:ind w:left="567" w:right="-284"/>
        <w:rPr>
          <w:rFonts w:ascii="Arial" w:eastAsia="Times New Roman" w:hAnsi="Arial" w:cs="Arial"/>
          <w:lang w:eastAsia="en-GB"/>
        </w:rPr>
      </w:pPr>
    </w:p>
    <w:p w:rsidR="000179AF" w:rsidRPr="00ED4FF1" w:rsidP="00CF42B2" w14:paraId="2D4A1798" w14:textId="7777777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rsidR="0042578B" w:rsidRPr="00201F8E" w:rsidP="00887AE6" w14:paraId="0E77FED5" w14:textId="77777777">
      <w:pPr>
        <w:pStyle w:val="ListParagraph"/>
        <w:numPr>
          <w:ilvl w:val="0"/>
          <w:numId w:val="1"/>
        </w:numPr>
        <w:spacing w:after="0" w:line="240" w:lineRule="auto"/>
        <w:ind w:left="567" w:hanging="567"/>
        <w:rPr>
          <w:rFonts w:ascii="Arial" w:eastAsia="Calibri" w:hAnsi="Arial" w:cs="Times New Roman"/>
        </w:rPr>
      </w:pPr>
      <w:r w:rsidRPr="00201F8E">
        <w:rPr>
          <w:rFonts w:ascii="Arial" w:eastAsia="Calibri" w:hAnsi="Arial" w:cs="Times New Roman"/>
        </w:rPr>
        <w:t xml:space="preserve">Equality and Diversity is embedded within the corporate strategy and how the </w:t>
      </w:r>
      <w:r w:rsidR="005D184D">
        <w:rPr>
          <w:rFonts w:ascii="Arial" w:eastAsia="Calibri" w:hAnsi="Arial" w:cs="Times New Roman"/>
        </w:rPr>
        <w:t>c</w:t>
      </w:r>
      <w:r w:rsidRPr="00201F8E">
        <w:rPr>
          <w:rFonts w:ascii="Arial" w:eastAsia="Calibri" w:hAnsi="Arial" w:cs="Times New Roman"/>
        </w:rPr>
        <w:t>ouncil acts. An equality impact assessment was undertaken as part of the corporate plan refresh.</w:t>
      </w:r>
    </w:p>
    <w:p w:rsidR="004758E2" w:rsidP="004758E2" w14:paraId="2C77F856" w14:textId="77777777">
      <w:pPr>
        <w:pStyle w:val="Heading2"/>
        <w:rPr>
          <w:rFonts w:asciiTheme="majorHAnsi" w:hAnsiTheme="majorHAnsi" w:cstheme="majorHAnsi"/>
          <w:sz w:val="22"/>
          <w:szCs w:val="22"/>
        </w:rPr>
      </w:pPr>
      <w:r>
        <w:rPr>
          <w:rFonts w:asciiTheme="majorHAnsi" w:hAnsiTheme="majorHAnsi" w:cstheme="majorHAnsi"/>
          <w:sz w:val="22"/>
          <w:szCs w:val="22"/>
        </w:rPr>
        <w:t>Risk</w:t>
      </w:r>
    </w:p>
    <w:p w:rsidR="00213F8A" w:rsidRPr="0078788A" w:rsidP="00887AE6" w14:paraId="117ED59C" w14:textId="77777777">
      <w:pPr>
        <w:pStyle w:val="ListParagraph"/>
        <w:numPr>
          <w:ilvl w:val="0"/>
          <w:numId w:val="1"/>
        </w:numPr>
        <w:spacing w:after="0" w:line="240" w:lineRule="auto"/>
        <w:ind w:left="567" w:hanging="567"/>
        <w:rPr>
          <w:rFonts w:ascii="Arial" w:eastAsia="Calibri" w:hAnsi="Arial" w:cs="Times New Roman"/>
        </w:rPr>
      </w:pPr>
      <w:r w:rsidRPr="0078788A">
        <w:rPr>
          <w:rFonts w:ascii="Arial" w:eastAsia="Calibri" w:hAnsi="Arial" w:cs="Times New Roman"/>
        </w:rPr>
        <w:t>Risk registers are being completed for each project which will inform the wi</w:t>
      </w:r>
      <w:r w:rsidRPr="0078788A">
        <w:rPr>
          <w:rFonts w:ascii="Arial" w:eastAsia="Calibri" w:hAnsi="Arial" w:cs="Times New Roman"/>
        </w:rPr>
        <w:t>der risk assessment on an ongoing basis for the corporate strategy.</w:t>
      </w:r>
    </w:p>
    <w:p w:rsidR="0078788A" w:rsidRPr="0078788A" w:rsidP="00887AE6" w14:paraId="49D57765" w14:textId="77777777">
      <w:pPr>
        <w:pStyle w:val="ListParagraph"/>
        <w:spacing w:after="0" w:line="240" w:lineRule="auto"/>
        <w:ind w:left="567" w:hanging="567"/>
        <w:rPr>
          <w:rFonts w:ascii="Arial" w:eastAsia="Calibri" w:hAnsi="Arial" w:cs="Times New Roman"/>
        </w:rPr>
      </w:pPr>
    </w:p>
    <w:p w:rsidR="00873961" w:rsidRPr="002001C6" w:rsidP="00887AE6" w14:paraId="1D524099" w14:textId="77777777">
      <w:pPr>
        <w:pStyle w:val="Heading2"/>
        <w:numPr>
          <w:ilvl w:val="0"/>
          <w:numId w:val="1"/>
        </w:numPr>
        <w:spacing w:before="0" w:beforeAutospacing="0"/>
        <w:ind w:left="567" w:hanging="567"/>
        <w:rPr>
          <w:rFonts w:asciiTheme="minorHAnsi" w:eastAsiaTheme="minorHAnsi" w:hAnsiTheme="minorHAnsi" w:cstheme="minorHAnsi"/>
          <w:b w:val="0"/>
          <w:iCs/>
          <w:sz w:val="22"/>
          <w:szCs w:val="22"/>
          <w:lang w:eastAsia="en-US"/>
        </w:rPr>
      </w:pPr>
      <w:r w:rsidRPr="0042578B">
        <w:rPr>
          <w:rFonts w:asciiTheme="minorHAnsi" w:eastAsiaTheme="minorHAnsi" w:hAnsiTheme="minorHAnsi" w:cstheme="minorHAnsi"/>
          <w:b w:val="0"/>
          <w:iCs/>
          <w:sz w:val="22"/>
          <w:szCs w:val="22"/>
          <w:lang w:eastAsia="en-US"/>
        </w:rPr>
        <w:t xml:space="preserve">In considering the risk to the overall corporate strategy programme, the number of green rated projects provides a positive outlook and confidence in delivery. Proactive management of risks around budgets and the impact of Covid recovery remain a focus of </w:t>
      </w:r>
      <w:r w:rsidRPr="0042578B">
        <w:rPr>
          <w:rFonts w:asciiTheme="minorHAnsi" w:eastAsiaTheme="minorHAnsi" w:hAnsiTheme="minorHAnsi" w:cstheme="minorHAnsi"/>
          <w:b w:val="0"/>
          <w:iCs/>
          <w:sz w:val="22"/>
          <w:szCs w:val="22"/>
          <w:lang w:eastAsia="en-US"/>
        </w:rPr>
        <w:t>the programme board when reviewing progress each quarter</w:t>
      </w:r>
      <w:r w:rsidR="004D24D4">
        <w:rPr>
          <w:rFonts w:asciiTheme="minorHAnsi" w:eastAsiaTheme="minorHAnsi" w:hAnsiTheme="minorHAnsi" w:cstheme="minorHAnsi"/>
          <w:b w:val="0"/>
          <w:iCs/>
          <w:sz w:val="22"/>
          <w:szCs w:val="22"/>
          <w:lang w:eastAsia="en-US"/>
        </w:rPr>
        <w:t>.</w:t>
      </w:r>
    </w:p>
    <w:p w:rsidR="000179AF" w:rsidRPr="00873961" w:rsidP="00873961" w14:paraId="7784FE6D" w14:textId="77777777">
      <w:pPr>
        <w:pStyle w:val="Heading2"/>
        <w:spacing w:before="0" w:beforeAutospacing="0"/>
        <w:rPr>
          <w:rFonts w:asciiTheme="majorHAnsi" w:hAnsiTheme="majorHAnsi" w:cstheme="majorHAnsi"/>
          <w:sz w:val="22"/>
          <w:szCs w:val="22"/>
        </w:rPr>
      </w:pPr>
      <w:r w:rsidRPr="00873961">
        <w:rPr>
          <w:rFonts w:asciiTheme="majorHAnsi" w:hAnsiTheme="majorHAnsi" w:cstheme="majorHAnsi"/>
          <w:sz w:val="22"/>
          <w:szCs w:val="22"/>
        </w:rPr>
        <w:t>Comments of the Statutory Finance Officer</w:t>
      </w:r>
    </w:p>
    <w:p w:rsidR="00CD4DC2" w:rsidRPr="00883AC9" w:rsidP="00CD4DC2" w14:paraId="4C479BEB" w14:textId="180ECCC5">
      <w:pPr>
        <w:numPr>
          <w:ilvl w:val="0"/>
          <w:numId w:val="1"/>
        </w:numPr>
        <w:spacing w:after="0" w:line="240" w:lineRule="auto"/>
        <w:ind w:left="567" w:hanging="567"/>
        <w:jc w:val="both"/>
        <w:rPr>
          <w:rFonts w:cstheme="minorHAnsi"/>
          <w:bCs/>
          <w:iCs/>
        </w:rPr>
      </w:pPr>
      <w:r>
        <w:t>The performance detailed in this report informs the financial position of the council and is reflected within the budget reporting and MTFS.</w:t>
      </w:r>
    </w:p>
    <w:p w:rsidR="00517AC2" w:rsidRPr="00517AC2" w:rsidP="00517AC2" w14:paraId="1772B4FF" w14:textId="77777777">
      <w:pPr>
        <w:spacing w:after="0" w:line="240" w:lineRule="auto"/>
        <w:jc w:val="both"/>
        <w:rPr>
          <w:rFonts w:cstheme="minorHAnsi"/>
          <w:bCs/>
          <w:highlight w:val="yellow"/>
        </w:rPr>
      </w:pPr>
    </w:p>
    <w:p w:rsidR="000179AF" w:rsidP="00517AC2" w14:paraId="4308679F" w14:textId="6277E45C">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9A7C25" w:rsidRPr="009A7C25" w:rsidP="009A7C25" w14:paraId="771F0864" w14:textId="195BFC02">
      <w:pPr>
        <w:numPr>
          <w:ilvl w:val="0"/>
          <w:numId w:val="1"/>
        </w:numPr>
        <w:spacing w:after="0" w:line="240" w:lineRule="auto"/>
        <w:ind w:left="567" w:hanging="567"/>
        <w:jc w:val="both"/>
      </w:pPr>
      <w:r w:rsidRPr="009A7C25">
        <w:t xml:space="preserve">There are no legal implications arising from this report. The purpose of the report is to update members on performance and progress against key projects. It is part of our commitment to acting in an open and transparent </w:t>
      </w:r>
      <w:r w:rsidRPr="009A7C25">
        <w:t>manner.</w:t>
      </w:r>
    </w:p>
    <w:p w:rsidR="0076759A" w:rsidRPr="00883AC9" w:rsidP="0076759A" w14:paraId="1348AC6C" w14:textId="77777777">
      <w:pPr>
        <w:spacing w:after="0" w:line="240" w:lineRule="auto"/>
        <w:ind w:left="567"/>
        <w:jc w:val="both"/>
        <w:rPr>
          <w:rFonts w:cstheme="minorHAnsi"/>
          <w:bCs/>
          <w:iCs/>
        </w:rPr>
      </w:pPr>
    </w:p>
    <w:p w:rsidR="000179AF" w:rsidRPr="00D1305C" w:rsidP="000179AF" w14:paraId="347C1DFF" w14:textId="77777777">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rsidR="000E38D3" w:rsidRPr="00292BEA" w:rsidP="00392FA0" w14:paraId="1897944F" w14:textId="77777777">
      <w:pPr>
        <w:pStyle w:val="ListParagraph"/>
        <w:numPr>
          <w:ilvl w:val="0"/>
          <w:numId w:val="8"/>
        </w:numPr>
        <w:spacing w:after="0" w:line="240" w:lineRule="auto"/>
        <w:ind w:left="851"/>
        <w:rPr>
          <w:rFonts w:ascii="Arial" w:eastAsia="Calibri" w:hAnsi="Arial" w:cs="Times New Roman"/>
        </w:rPr>
      </w:pPr>
      <w:r w:rsidRPr="00292BEA">
        <w:rPr>
          <w:rFonts w:ascii="Arial" w:eastAsia="Calibri" w:hAnsi="Arial" w:cs="Times New Roman"/>
        </w:rPr>
        <w:t>Corporate Strategy, approved 21</w:t>
      </w:r>
      <w:r w:rsidRPr="00292BEA">
        <w:rPr>
          <w:rFonts w:ascii="Arial" w:eastAsia="Calibri" w:hAnsi="Arial" w:cs="Times New Roman"/>
          <w:vertAlign w:val="superscript"/>
        </w:rPr>
        <w:t>st</w:t>
      </w:r>
      <w:r w:rsidRPr="00292BEA">
        <w:rPr>
          <w:rFonts w:ascii="Arial" w:eastAsia="Calibri" w:hAnsi="Arial" w:cs="Times New Roman"/>
        </w:rPr>
        <w:t xml:space="preserve"> November 2021</w:t>
      </w:r>
    </w:p>
    <w:p w:rsidR="000E38D3" w:rsidP="000E38D3" w14:paraId="0A2157EB" w14:textId="052AB971">
      <w:pPr>
        <w:pStyle w:val="ListParagraph"/>
        <w:spacing w:after="0" w:line="240" w:lineRule="auto"/>
        <w:ind w:left="1134"/>
        <w:rPr>
          <w:rFonts w:ascii="Arial" w:eastAsia="Calibri" w:hAnsi="Arial" w:cs="Times New Roman"/>
        </w:rPr>
      </w:pPr>
    </w:p>
    <w:p w:rsidR="0076759A" w:rsidP="000E38D3" w14:paraId="5318E311" w14:textId="52382889">
      <w:pPr>
        <w:pStyle w:val="ListParagraph"/>
        <w:spacing w:after="0" w:line="240" w:lineRule="auto"/>
        <w:ind w:left="1134"/>
        <w:rPr>
          <w:rFonts w:ascii="Arial" w:eastAsia="Calibri" w:hAnsi="Arial" w:cs="Times New Roman"/>
        </w:rPr>
      </w:pPr>
    </w:p>
    <w:p w:rsidR="000179AF" w:rsidRPr="00ED4FF1" w:rsidP="00ED4FF1" w14:paraId="3C369535" w14:textId="77777777">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42578B" w:rsidRPr="00292BEA" w:rsidP="00392FA0" w14:paraId="1506ECFF" w14:textId="77777777">
      <w:pPr>
        <w:pStyle w:val="ListParagraph"/>
        <w:numPr>
          <w:ilvl w:val="0"/>
          <w:numId w:val="8"/>
        </w:numPr>
        <w:spacing w:after="0" w:line="240" w:lineRule="auto"/>
        <w:ind w:left="851"/>
        <w:rPr>
          <w:rFonts w:ascii="Arial" w:eastAsia="Calibri" w:hAnsi="Arial" w:cs="Times New Roman"/>
        </w:rPr>
      </w:pPr>
      <w:r w:rsidRPr="00292BEA">
        <w:rPr>
          <w:rFonts w:ascii="Arial" w:eastAsia="Calibri" w:hAnsi="Arial" w:cs="Times New Roman"/>
        </w:rPr>
        <w:t xml:space="preserve">Appendix 1 - Performance of the Corporate Strategy Measures </w:t>
      </w:r>
    </w:p>
    <w:p w:rsidR="0042578B" w:rsidP="00392FA0" w14:paraId="45BEA4D7" w14:textId="77777777">
      <w:pPr>
        <w:pStyle w:val="ListParagraph"/>
        <w:numPr>
          <w:ilvl w:val="0"/>
          <w:numId w:val="8"/>
        </w:numPr>
        <w:spacing w:after="0" w:line="240" w:lineRule="auto"/>
        <w:ind w:left="851"/>
        <w:rPr>
          <w:rFonts w:ascii="Arial" w:eastAsia="Calibri" w:hAnsi="Arial" w:cs="Times New Roman"/>
        </w:rPr>
      </w:pPr>
      <w:r w:rsidRPr="00292BEA">
        <w:rPr>
          <w:rFonts w:ascii="Arial" w:eastAsia="Calibri" w:hAnsi="Arial" w:cs="Times New Roman"/>
        </w:rPr>
        <w:t xml:space="preserve">Appendix 2 - Key Organisational Performance Measures </w:t>
      </w:r>
    </w:p>
    <w:p w:rsidR="003A6C84" w:rsidRPr="00292BEA" w:rsidP="00392FA0" w14:paraId="3DC69A68" w14:textId="386FBF1E">
      <w:pPr>
        <w:pStyle w:val="ListParagraph"/>
        <w:numPr>
          <w:ilvl w:val="0"/>
          <w:numId w:val="8"/>
        </w:numPr>
        <w:spacing w:after="0" w:line="240" w:lineRule="auto"/>
        <w:ind w:left="851"/>
        <w:rPr>
          <w:rFonts w:ascii="Arial" w:eastAsia="Calibri" w:hAnsi="Arial" w:cs="Times New Roman"/>
        </w:rPr>
      </w:pPr>
      <w:r>
        <w:rPr>
          <w:rFonts w:ascii="Arial" w:eastAsia="Calibri" w:hAnsi="Arial" w:cs="Times New Roman"/>
        </w:rPr>
        <w:t xml:space="preserve">Appendix 3 - </w:t>
      </w:r>
      <w:r w:rsidRPr="003A6C84">
        <w:rPr>
          <w:rFonts w:ascii="Arial" w:eastAsia="Calibri" w:hAnsi="Arial" w:cs="Times New Roman"/>
        </w:rPr>
        <w:t xml:space="preserve">Quarter </w:t>
      </w:r>
      <w:r w:rsidR="00853B1A">
        <w:rPr>
          <w:rFonts w:ascii="Arial" w:eastAsia="Calibri" w:hAnsi="Arial" w:cs="Times New Roman"/>
        </w:rPr>
        <w:t>T</w:t>
      </w:r>
      <w:r w:rsidR="0082380B">
        <w:rPr>
          <w:rFonts w:ascii="Arial" w:eastAsia="Calibri" w:hAnsi="Arial" w:cs="Times New Roman"/>
        </w:rPr>
        <w:t>wo</w:t>
      </w:r>
      <w:r w:rsidRPr="003A6C84">
        <w:rPr>
          <w:rFonts w:ascii="Arial" w:eastAsia="Calibri" w:hAnsi="Arial" w:cs="Times New Roman"/>
        </w:rPr>
        <w:t xml:space="preserve"> Community Hub Action Plans Delivery Summary</w:t>
      </w:r>
    </w:p>
    <w:p w:rsidR="0042578B" w:rsidRPr="00292BEA" w:rsidP="003A6C84" w14:paraId="071E5A82" w14:textId="77777777">
      <w:pPr>
        <w:pStyle w:val="ListParagraph"/>
        <w:spacing w:after="0" w:line="240" w:lineRule="auto"/>
        <w:ind w:left="851"/>
        <w:rPr>
          <w:rFonts w:ascii="Arial" w:eastAsia="Calibri" w:hAnsi="Arial"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852"/>
        <w:gridCol w:w="1667"/>
        <w:gridCol w:w="1318"/>
      </w:tblGrid>
      <w:tr w14:paraId="1F4C4518" w14:textId="77777777" w:rsidTr="00A75809">
        <w:tblPrEx>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5" w:type="dxa"/>
            <w:shd w:val="clear" w:color="auto" w:fill="auto"/>
          </w:tcPr>
          <w:p w:rsidR="00D4431F" w:rsidRPr="00D4431F" w:rsidP="00D4431F" w14:paraId="3282CEB8" w14:textId="77777777">
            <w:pPr>
              <w:spacing w:line="240" w:lineRule="auto"/>
              <w:jc w:val="both"/>
              <w:rPr>
                <w:rFonts w:cstheme="minorHAnsi"/>
                <w:bCs/>
              </w:rPr>
            </w:pPr>
            <w:r w:rsidRPr="00D4431F">
              <w:rPr>
                <w:rFonts w:cstheme="minorHAnsi"/>
                <w:bCs/>
              </w:rPr>
              <w:t>Report Author:</w:t>
            </w:r>
          </w:p>
        </w:tc>
        <w:tc>
          <w:tcPr>
            <w:tcW w:w="3852" w:type="dxa"/>
          </w:tcPr>
          <w:p w:rsidR="00D4431F" w:rsidRPr="00D4431F" w:rsidP="00D4431F" w14:paraId="5F414A19" w14:textId="77777777">
            <w:pPr>
              <w:spacing w:line="240" w:lineRule="auto"/>
              <w:jc w:val="both"/>
              <w:rPr>
                <w:rFonts w:cstheme="minorHAnsi"/>
                <w:bCs/>
              </w:rPr>
            </w:pPr>
            <w:r w:rsidRPr="00D4431F">
              <w:rPr>
                <w:rFonts w:cstheme="minorHAnsi"/>
                <w:bCs/>
              </w:rPr>
              <w:t>Email:</w:t>
            </w:r>
          </w:p>
        </w:tc>
        <w:tc>
          <w:tcPr>
            <w:tcW w:w="1667" w:type="dxa"/>
            <w:shd w:val="clear" w:color="auto" w:fill="auto"/>
          </w:tcPr>
          <w:p w:rsidR="00D4431F" w:rsidRPr="00D4431F" w:rsidP="00D4431F" w14:paraId="66C49871" w14:textId="77777777">
            <w:pPr>
              <w:spacing w:line="240" w:lineRule="auto"/>
              <w:jc w:val="both"/>
              <w:rPr>
                <w:rFonts w:cstheme="minorHAnsi"/>
                <w:bCs/>
              </w:rPr>
            </w:pPr>
            <w:r w:rsidRPr="00D4431F">
              <w:rPr>
                <w:rFonts w:cstheme="minorHAnsi"/>
                <w:bCs/>
              </w:rPr>
              <w:t>Telephone:</w:t>
            </w:r>
          </w:p>
        </w:tc>
        <w:tc>
          <w:tcPr>
            <w:tcW w:w="1318" w:type="dxa"/>
            <w:shd w:val="clear" w:color="auto" w:fill="auto"/>
          </w:tcPr>
          <w:p w:rsidR="00D4431F" w:rsidRPr="00D4431F" w:rsidP="00D4431F" w14:paraId="1F190E74" w14:textId="77777777">
            <w:pPr>
              <w:spacing w:line="240" w:lineRule="auto"/>
              <w:jc w:val="both"/>
              <w:rPr>
                <w:rFonts w:cstheme="minorHAnsi"/>
                <w:bCs/>
              </w:rPr>
            </w:pPr>
            <w:r w:rsidRPr="00D4431F">
              <w:rPr>
                <w:rFonts w:cstheme="minorHAnsi"/>
                <w:bCs/>
              </w:rPr>
              <w:t>Date:</w:t>
            </w:r>
          </w:p>
        </w:tc>
      </w:tr>
      <w:tr w14:paraId="321D3A78" w14:textId="77777777" w:rsidTr="00A75809">
        <w:tblPrEx>
          <w:tblW w:w="9952" w:type="dxa"/>
          <w:tblInd w:w="108" w:type="dxa"/>
          <w:tblLook w:val="04A0"/>
        </w:tblPrEx>
        <w:tc>
          <w:tcPr>
            <w:tcW w:w="3115" w:type="dxa"/>
            <w:shd w:val="clear" w:color="auto" w:fill="auto"/>
            <w:vAlign w:val="center"/>
          </w:tcPr>
          <w:p w:rsidR="00D4431F" w:rsidRPr="00D4431F" w:rsidP="00CA7A98" w14:paraId="4C037219" w14:textId="62F0633D">
            <w:pPr>
              <w:spacing w:after="0"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Howard Anthony, Michael Johnson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Interim Shared Services Lead - Transformation and Partnerships, Policy Officer (Engagement)</w:t>
            </w:r>
            <w:r>
              <w:rPr>
                <w:rFonts w:cstheme="minorHAnsi"/>
                <w:bCs/>
              </w:rPr>
              <w:fldChar w:fldCharType="end"/>
            </w:r>
            <w:r w:rsidR="00853B1A">
              <w:rPr>
                <w:rFonts w:cstheme="minorHAnsi"/>
                <w:bCs/>
              </w:rPr>
              <w:t>Performance and Policy Officer)</w:t>
            </w:r>
          </w:p>
        </w:tc>
        <w:tc>
          <w:tcPr>
            <w:tcW w:w="3852" w:type="dxa"/>
          </w:tcPr>
          <w:p w:rsidR="00D4431F" w:rsidRPr="00D4431F" w:rsidP="00D4431F" w14:paraId="3B3D14C1" w14:textId="77777777">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howard.anthony@southribble.gov.uk, mjohnson@southribble.gov.uk</w:t>
            </w:r>
            <w:r>
              <w:rPr>
                <w:rFonts w:cstheme="minorHAnsi"/>
                <w:bCs/>
              </w:rPr>
              <w:fldChar w:fldCharType="end"/>
            </w:r>
          </w:p>
        </w:tc>
        <w:tc>
          <w:tcPr>
            <w:tcW w:w="1667" w:type="dxa"/>
            <w:shd w:val="clear" w:color="auto" w:fill="auto"/>
          </w:tcPr>
          <w:p w:rsidR="00D4431F" w:rsidRPr="00D4431F" w:rsidP="0042578B" w14:paraId="31520AA1" w14:textId="77777777">
            <w:pPr>
              <w:spacing w:line="240" w:lineRule="auto"/>
              <w:jc w:val="both"/>
              <w:rPr>
                <w:rFonts w:cstheme="minorHAnsi"/>
                <w:bCs/>
              </w:rPr>
            </w:pPr>
            <w:r w:rsidRPr="00D4431F">
              <w:rPr>
                <w:rFonts w:cstheme="minorHAnsi"/>
                <w:bCs/>
              </w:rPr>
              <w:t>01772</w:t>
            </w:r>
            <w:r w:rsidR="0042578B">
              <w:rPr>
                <w:rFonts w:cstheme="minorHAnsi"/>
                <w:bCs/>
              </w:rPr>
              <w:t xml:space="preserve"> </w:t>
            </w:r>
            <w:r w:rsidRPr="00D4431F">
              <w:rPr>
                <w:rFonts w:cstheme="minorHAnsi"/>
                <w:bCs/>
              </w:rPr>
              <w:t>62</w:t>
            </w:r>
            <w:r w:rsidR="0042578B">
              <w:rPr>
                <w:rFonts w:cstheme="minorHAnsi"/>
                <w:bCs/>
              </w:rPr>
              <w:t xml:space="preserve"> 5625</w:t>
            </w:r>
          </w:p>
        </w:tc>
        <w:tc>
          <w:tcPr>
            <w:tcW w:w="1318" w:type="dxa"/>
            <w:shd w:val="clear" w:color="auto" w:fill="auto"/>
          </w:tcPr>
          <w:p w:rsidR="00D4431F" w:rsidRPr="00D4431F" w:rsidP="00D4431F" w14:paraId="336E8626" w14:textId="463329C9">
            <w:pPr>
              <w:spacing w:line="240" w:lineRule="auto"/>
              <w:jc w:val="both"/>
              <w:rPr>
                <w:rFonts w:cstheme="minorHAnsi"/>
                <w:bCs/>
              </w:rPr>
            </w:pPr>
            <w:r>
              <w:rPr>
                <w:rFonts w:cstheme="minorHAnsi"/>
                <w:bCs/>
              </w:rPr>
              <w:t>10</w:t>
            </w:r>
            <w:r w:rsidR="00C23BC9">
              <w:rPr>
                <w:rFonts w:cstheme="minorHAnsi"/>
                <w:bCs/>
              </w:rPr>
              <w:t>/</w:t>
            </w:r>
            <w:r w:rsidR="00BE4239">
              <w:rPr>
                <w:rFonts w:cstheme="minorHAnsi"/>
                <w:bCs/>
              </w:rPr>
              <w:t>10</w:t>
            </w:r>
            <w:r w:rsidR="00C23BC9">
              <w:rPr>
                <w:rFonts w:cstheme="minorHAnsi"/>
                <w:bCs/>
              </w:rPr>
              <w:t>/2022</w:t>
            </w:r>
          </w:p>
        </w:tc>
      </w:tr>
    </w:tbl>
    <w:p w:rsidR="000C1358" w14:paraId="2658DF31" w14:textId="77777777">
      <w:pPr>
        <w:rPr>
          <w:rFonts w:cstheme="minorHAnsi"/>
          <w:bCs/>
          <w:color w:val="000000" w:themeColor="text1"/>
          <w:lang w:val="en-US"/>
        </w:rPr>
        <w:sectPr w:rsidSect="00D4431F">
          <w:pgSz w:w="11906" w:h="16838"/>
          <w:pgMar w:top="1440" w:right="1440" w:bottom="1440" w:left="1440" w:header="708" w:footer="708" w:gutter="0"/>
          <w:cols w:space="708"/>
          <w:docGrid w:linePitch="360"/>
        </w:sectPr>
      </w:pPr>
    </w:p>
    <w:tbl>
      <w:tblPr>
        <w:tblpPr w:leftFromText="180" w:rightFromText="180" w:vertAnchor="text" w:horzAnchor="page" w:tblpX="391" w:tblpY="34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2931"/>
        <w:gridCol w:w="755"/>
        <w:gridCol w:w="3070"/>
        <w:gridCol w:w="726"/>
        <w:gridCol w:w="2882"/>
      </w:tblGrid>
      <w:tr w14:paraId="2C6A1CF9" w14:textId="77777777" w:rsidTr="00A61B12">
        <w:tblPrEx>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93"/>
        </w:trPr>
        <w:tc>
          <w:tcPr>
            <w:tcW w:w="830" w:type="dxa"/>
            <w:tcBorders>
              <w:right w:val="nil"/>
            </w:tcBorders>
            <w:shd w:val="clear" w:color="auto" w:fill="auto"/>
            <w:vAlign w:val="center"/>
          </w:tcPr>
          <w:p w:rsidR="00A61B12" w:rsidRPr="00E52C0D" w:rsidP="00A61B12" w14:paraId="3A772D39" w14:textId="77777777">
            <w:pPr>
              <w:widowControl w:val="0"/>
              <w:spacing w:after="160" w:line="259" w:lineRule="auto"/>
              <w:contextualSpacing/>
              <w:jc w:val="center"/>
              <w:outlineLvl w:val="0"/>
              <w:rPr>
                <w:rFonts w:ascii="Arial" w:eastAsia="Arial" w:hAnsi="Arial" w:cs="Arial"/>
                <w:b/>
                <w:color w:val="00B050"/>
              </w:rPr>
            </w:pPr>
            <w:r w:rsidRPr="00E52C0D">
              <w:rPr>
                <w:rFonts w:ascii="Wingdings 3" w:eastAsia="Arial" w:hAnsi="Wingdings 3" w:cs="Times New Roman"/>
                <w:color w:val="FF0000"/>
                <w:sz w:val="32"/>
              </w:rPr>
              <w:sym w:font="Wingdings 3" w:char="F070"/>
            </w:r>
          </w:p>
        </w:tc>
        <w:tc>
          <w:tcPr>
            <w:tcW w:w="2931" w:type="dxa"/>
            <w:tcBorders>
              <w:left w:val="nil"/>
            </w:tcBorders>
            <w:shd w:val="clear" w:color="auto" w:fill="auto"/>
            <w:vAlign w:val="center"/>
          </w:tcPr>
          <w:p w:rsidR="00A61B12" w:rsidRPr="00E52C0D" w:rsidP="00A61B12" w14:paraId="090EB60F" w14:textId="77777777">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outside threshold (5%)</w:t>
            </w:r>
          </w:p>
        </w:tc>
        <w:tc>
          <w:tcPr>
            <w:tcW w:w="755" w:type="dxa"/>
            <w:tcBorders>
              <w:right w:val="nil"/>
            </w:tcBorders>
            <w:vAlign w:val="center"/>
          </w:tcPr>
          <w:p w:rsidR="00A61B12" w:rsidRPr="00E52C0D" w:rsidP="00A61B12" w14:paraId="146B0277" w14:textId="77777777">
            <w:pPr>
              <w:widowControl w:val="0"/>
              <w:spacing w:after="160" w:line="259" w:lineRule="auto"/>
              <w:contextualSpacing/>
              <w:jc w:val="center"/>
              <w:outlineLvl w:val="0"/>
              <w:rPr>
                <w:rFonts w:ascii="Arial" w:eastAsia="Arial" w:hAnsi="Arial" w:cs="Arial"/>
                <w:bCs/>
                <w:color w:val="000000"/>
              </w:rPr>
            </w:pPr>
            <w:r w:rsidRPr="00430D84">
              <w:rPr>
                <w:rFonts w:ascii="Wingdings 2" w:eastAsia="Calibri" w:hAnsi="Wingdings 2" w:cstheme="minorHAnsi"/>
                <w:color w:val="0070C0"/>
                <w:sz w:val="32"/>
                <w:szCs w:val="32"/>
              </w:rPr>
              <w:sym w:font="Wingdings 2" w:char="F098"/>
            </w:r>
          </w:p>
        </w:tc>
        <w:tc>
          <w:tcPr>
            <w:tcW w:w="3070" w:type="dxa"/>
            <w:tcBorders>
              <w:left w:val="nil"/>
            </w:tcBorders>
            <w:vAlign w:val="center"/>
          </w:tcPr>
          <w:p w:rsidR="00A61B12" w:rsidRPr="00E52C0D" w:rsidP="00A61B12" w14:paraId="684A5EBA" w14:textId="77777777">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but within threshold (5%)</w:t>
            </w:r>
          </w:p>
        </w:tc>
        <w:tc>
          <w:tcPr>
            <w:tcW w:w="726" w:type="dxa"/>
            <w:tcBorders>
              <w:right w:val="nil"/>
            </w:tcBorders>
            <w:vAlign w:val="center"/>
          </w:tcPr>
          <w:p w:rsidR="00A61B12" w:rsidRPr="00E52C0D" w:rsidP="00A61B12" w14:paraId="0820FB10" w14:textId="77777777">
            <w:pPr>
              <w:widowControl w:val="0"/>
              <w:spacing w:after="160" w:line="259" w:lineRule="auto"/>
              <w:contextualSpacing/>
              <w:outlineLvl w:val="0"/>
              <w:rPr>
                <w:rFonts w:ascii="Arial" w:eastAsia="Arial" w:hAnsi="Arial" w:cs="Arial"/>
                <w:bCs/>
                <w:color w:val="000000"/>
              </w:rPr>
            </w:pPr>
            <w:r w:rsidRPr="00E52C0D">
              <w:rPr>
                <w:rFonts w:ascii="Wingdings" w:eastAsia="Arial" w:hAnsi="Wingdings" w:cs="Times New Roman"/>
                <w:color w:val="00B050"/>
                <w:sz w:val="44"/>
              </w:rPr>
              <w:sym w:font="Wingdings" w:char="F0AB"/>
            </w:r>
          </w:p>
        </w:tc>
        <w:tc>
          <w:tcPr>
            <w:tcW w:w="2882" w:type="dxa"/>
            <w:tcBorders>
              <w:left w:val="nil"/>
            </w:tcBorders>
            <w:vAlign w:val="center"/>
          </w:tcPr>
          <w:p w:rsidR="00A61B12" w:rsidRPr="00E52C0D" w:rsidP="00A61B12" w14:paraId="744C4118" w14:textId="77777777">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Performance is better than target</w:t>
            </w:r>
          </w:p>
        </w:tc>
      </w:tr>
    </w:tbl>
    <w:p w:rsidR="00AD596E" w:rsidP="0027069D" w14:paraId="7DE63B9E" w14:textId="77777777">
      <w:pPr>
        <w:pStyle w:val="Heading2"/>
        <w:spacing w:before="0" w:beforeAutospacing="0"/>
        <w:ind w:left="-993"/>
        <w:rPr>
          <w:rFonts w:asciiTheme="majorHAnsi" w:hAnsiTheme="majorHAnsi" w:cstheme="majorHAnsi"/>
          <w:sz w:val="22"/>
          <w:szCs w:val="22"/>
        </w:rPr>
      </w:pPr>
      <w:r w:rsidRPr="00887342">
        <w:rPr>
          <w:rFonts w:asciiTheme="majorHAnsi" w:hAnsiTheme="majorHAnsi" w:cstheme="majorHAnsi"/>
          <w:sz w:val="22"/>
          <w:szCs w:val="22"/>
        </w:rPr>
        <w:t xml:space="preserve">Appendix 1 – Performance of the Corporate </w:t>
      </w:r>
      <w:r w:rsidRPr="00887342">
        <w:rPr>
          <w:rFonts w:asciiTheme="majorHAnsi" w:hAnsiTheme="majorHAnsi" w:cstheme="majorHAnsi"/>
          <w:sz w:val="22"/>
          <w:szCs w:val="22"/>
        </w:rPr>
        <w:t>Strategy Measures</w:t>
      </w:r>
    </w:p>
    <w:tbl>
      <w:tblPr>
        <w:tblpPr w:leftFromText="180" w:rightFromText="180" w:vertAnchor="text" w:horzAnchor="page" w:tblpX="376" w:tblpY="757"/>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134"/>
        <w:gridCol w:w="1276"/>
        <w:gridCol w:w="1559"/>
        <w:gridCol w:w="1413"/>
        <w:gridCol w:w="1134"/>
        <w:gridCol w:w="1182"/>
      </w:tblGrid>
      <w:tr w14:paraId="7D8E9862" w14:textId="77777777" w:rsidTr="00FB1ABE">
        <w:tblPrEx>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2"/>
        </w:trPr>
        <w:tc>
          <w:tcPr>
            <w:tcW w:w="3544" w:type="dxa"/>
            <w:shd w:val="clear" w:color="auto" w:fill="808080" w:themeFill="background1" w:themeFillShade="80"/>
            <w:vAlign w:val="center"/>
          </w:tcPr>
          <w:p w:rsidR="00A61B12" w:rsidRPr="00FE1175" w:rsidP="00A61B12" w14:paraId="048A2153" w14:textId="77777777">
            <w:pPr>
              <w:widowControl w:val="0"/>
              <w:spacing w:after="0" w:line="240" w:lineRule="auto"/>
              <w:outlineLvl w:val="0"/>
              <w:rPr>
                <w:rFonts w:eastAsia="Calibri" w:cs="Times New Roman"/>
                <w:b/>
                <w:bCs/>
                <w:color w:val="FFFFFF" w:themeColor="background1"/>
              </w:rPr>
            </w:pPr>
            <w:bookmarkStart w:id="12" w:name="_Hlk116566143"/>
            <w:r w:rsidRPr="00FE1175">
              <w:rPr>
                <w:rFonts w:eastAsia="Calibri" w:cs="Times New Roman"/>
                <w:b/>
                <w:bCs/>
                <w:color w:val="FFFFFF" w:themeColor="background1"/>
              </w:rPr>
              <w:t>Indicator Name</w:t>
            </w:r>
          </w:p>
        </w:tc>
        <w:tc>
          <w:tcPr>
            <w:tcW w:w="1134" w:type="dxa"/>
            <w:shd w:val="clear" w:color="auto" w:fill="808080" w:themeFill="background1" w:themeFillShade="80"/>
            <w:vAlign w:val="center"/>
          </w:tcPr>
          <w:p w:rsidR="00A61B12" w:rsidRPr="00FE1175" w:rsidP="00A61B12" w14:paraId="422D299F" w14:textId="77777777">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Polarity</w:t>
            </w:r>
          </w:p>
        </w:tc>
        <w:tc>
          <w:tcPr>
            <w:tcW w:w="1276" w:type="dxa"/>
            <w:shd w:val="clear" w:color="auto" w:fill="808080" w:themeFill="background1" w:themeFillShade="80"/>
            <w:vAlign w:val="center"/>
          </w:tcPr>
          <w:p w:rsidR="00A61B12" w:rsidRPr="00FE1175" w:rsidP="00A61B12" w14:paraId="59A282A4" w14:textId="77777777">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Target</w:t>
            </w:r>
          </w:p>
        </w:tc>
        <w:tc>
          <w:tcPr>
            <w:tcW w:w="1559" w:type="dxa"/>
            <w:shd w:val="clear" w:color="auto" w:fill="808080" w:themeFill="background1" w:themeFillShade="80"/>
            <w:vAlign w:val="center"/>
          </w:tcPr>
          <w:p w:rsidR="00A61B12" w:rsidRPr="00FE1175" w:rsidP="00A61B12" w14:paraId="4A7AAB2A" w14:textId="77777777">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Previous Quarter (</w:t>
            </w:r>
            <w:r w:rsidRPr="00FE1175">
              <w:rPr>
                <w:rFonts w:eastAsia="Calibri" w:cs="Times New Roman"/>
                <w:b/>
                <w:bCs/>
                <w:i/>
                <w:iCs/>
                <w:color w:val="FFFFFF" w:themeColor="background1"/>
              </w:rPr>
              <w:t>Reported</w:t>
            </w:r>
            <w:r w:rsidRPr="00FE1175">
              <w:rPr>
                <w:rFonts w:eastAsia="Calibri" w:cs="Times New Roman"/>
                <w:b/>
                <w:bCs/>
                <w:color w:val="FFFFFF" w:themeColor="background1"/>
              </w:rPr>
              <w:t>)</w:t>
            </w:r>
            <w:r w:rsidRPr="00FE1175" w:rsidR="00382D6D">
              <w:rPr>
                <w:rFonts w:eastAsia="Calibri" w:cs="Times New Roman"/>
                <w:b/>
                <w:bCs/>
                <w:color w:val="FFFFFF" w:themeColor="background1"/>
              </w:rPr>
              <w:t xml:space="preserve"> </w:t>
            </w:r>
          </w:p>
        </w:tc>
        <w:tc>
          <w:tcPr>
            <w:tcW w:w="1413" w:type="dxa"/>
            <w:shd w:val="clear" w:color="auto" w:fill="808080" w:themeFill="background1" w:themeFillShade="80"/>
            <w:vAlign w:val="center"/>
          </w:tcPr>
          <w:p w:rsidR="003A6C84" w:rsidRPr="00FE1175" w:rsidP="003A6C84" w14:paraId="5F053F13" w14:textId="7BD406F9">
            <w:pPr>
              <w:spacing w:after="0" w:line="240" w:lineRule="auto"/>
              <w:jc w:val="center"/>
              <w:rPr>
                <w:b/>
                <w:bCs/>
                <w:color w:val="FFFFFF" w:themeColor="background1"/>
              </w:rPr>
            </w:pPr>
            <w:r w:rsidRPr="00FE1175">
              <w:rPr>
                <w:b/>
                <w:bCs/>
                <w:color w:val="FFFFFF" w:themeColor="background1"/>
              </w:rPr>
              <w:t>Quarter</w:t>
            </w:r>
            <w:r w:rsidR="00FE1175">
              <w:rPr>
                <w:b/>
                <w:bCs/>
                <w:color w:val="FFFFFF" w:themeColor="background1"/>
              </w:rPr>
              <w:t xml:space="preserve"> 2</w:t>
            </w:r>
          </w:p>
          <w:p w:rsidR="00A61B12" w:rsidRPr="00FE1175" w:rsidP="003A6C84" w14:paraId="6751AD6B" w14:textId="77777777">
            <w:pPr>
              <w:widowControl w:val="0"/>
              <w:spacing w:after="0" w:line="240" w:lineRule="auto"/>
              <w:jc w:val="center"/>
              <w:outlineLvl w:val="0"/>
              <w:rPr>
                <w:rFonts w:eastAsia="Calibri" w:cs="Times New Roman"/>
                <w:b/>
                <w:bCs/>
                <w:color w:val="FFFFFF" w:themeColor="background1"/>
              </w:rPr>
            </w:pPr>
            <w:r w:rsidRPr="00FE1175">
              <w:rPr>
                <w:b/>
                <w:bCs/>
                <w:color w:val="FFFFFF" w:themeColor="background1"/>
              </w:rPr>
              <w:t>2022/23</w:t>
            </w:r>
          </w:p>
        </w:tc>
        <w:tc>
          <w:tcPr>
            <w:tcW w:w="1134" w:type="dxa"/>
            <w:shd w:val="clear" w:color="auto" w:fill="808080" w:themeFill="background1" w:themeFillShade="80"/>
            <w:vAlign w:val="center"/>
          </w:tcPr>
          <w:p w:rsidR="00A61B12" w:rsidRPr="00FE1175" w:rsidP="00A61B12" w14:paraId="4376C2D4" w14:textId="77777777">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Symbol</w:t>
            </w:r>
          </w:p>
        </w:tc>
        <w:tc>
          <w:tcPr>
            <w:tcW w:w="1182" w:type="dxa"/>
            <w:shd w:val="clear" w:color="auto" w:fill="808080" w:themeFill="background1" w:themeFillShade="80"/>
            <w:vAlign w:val="center"/>
          </w:tcPr>
          <w:p w:rsidR="00A61B12" w:rsidRPr="00FE1175" w:rsidP="00A61B12" w14:paraId="3E1D1A81" w14:textId="77777777">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Trend</w:t>
            </w:r>
          </w:p>
        </w:tc>
      </w:tr>
      <w:tr w14:paraId="5139B46A" w14:textId="77777777" w:rsidTr="00A61B12">
        <w:tblPrEx>
          <w:tblW w:w="11242" w:type="dxa"/>
          <w:tblLayout w:type="fixed"/>
          <w:tblLook w:val="04A0"/>
        </w:tblPrEx>
        <w:trPr>
          <w:trHeight w:val="397"/>
        </w:trPr>
        <w:tc>
          <w:tcPr>
            <w:tcW w:w="11242" w:type="dxa"/>
            <w:gridSpan w:val="7"/>
            <w:tcBorders>
              <w:right w:val="single" w:sz="8" w:space="0" w:color="auto"/>
            </w:tcBorders>
            <w:shd w:val="clear" w:color="auto" w:fill="auto"/>
            <w:vAlign w:val="center"/>
          </w:tcPr>
          <w:p w:rsidR="00A61B12" w:rsidRPr="00FE1175" w:rsidP="00A61B12" w14:paraId="6278D96A" w14:textId="77777777">
            <w:pPr>
              <w:widowControl w:val="0"/>
              <w:spacing w:line="256" w:lineRule="auto"/>
              <w:contextualSpacing/>
              <w:outlineLvl w:val="0"/>
              <w:rPr>
                <w:rFonts w:eastAsia="Calibri" w:cs="Times New Roman"/>
                <w:b/>
                <w:bCs/>
                <w:color w:val="FF0000"/>
                <w:sz w:val="24"/>
                <w:szCs w:val="24"/>
              </w:rPr>
            </w:pPr>
            <w:r w:rsidRPr="00FE1175">
              <w:rPr>
                <w:rFonts w:eastAsia="Calibri" w:cs="Times New Roman"/>
                <w:b/>
                <w:bCs/>
                <w:color w:val="0070C0"/>
                <w:sz w:val="24"/>
                <w:szCs w:val="24"/>
              </w:rPr>
              <w:t>An Exemplary Council</w:t>
            </w:r>
          </w:p>
        </w:tc>
      </w:tr>
      <w:tr w14:paraId="25EBF3B4" w14:textId="77777777" w:rsidTr="00D914B0">
        <w:tblPrEx>
          <w:tblW w:w="11242" w:type="dxa"/>
          <w:tblLayout w:type="fixed"/>
          <w:tblLook w:val="04A0"/>
        </w:tblPrEx>
        <w:trPr>
          <w:trHeight w:val="506"/>
        </w:trPr>
        <w:tc>
          <w:tcPr>
            <w:tcW w:w="3544" w:type="dxa"/>
            <w:shd w:val="clear" w:color="auto" w:fill="auto"/>
            <w:vAlign w:val="center"/>
          </w:tcPr>
          <w:p w:rsidR="00A61B12" w:rsidRPr="00FE1175" w:rsidP="00A61B12" w14:paraId="2DCB187B" w14:textId="77777777">
            <w:pPr>
              <w:widowControl w:val="0"/>
              <w:spacing w:line="256" w:lineRule="auto"/>
              <w:contextualSpacing/>
              <w:outlineLvl w:val="0"/>
              <w:rPr>
                <w:rFonts w:eastAsia="Calibri"/>
              </w:rPr>
            </w:pPr>
            <w:bookmarkStart w:id="13" w:name="_Hlk78461540"/>
            <w:r w:rsidRPr="00FE1175">
              <w:rPr>
                <w:rFonts w:eastAsia="Calibri"/>
              </w:rPr>
              <w:t xml:space="preserve">At least 40% of service requests will be received via self-service channels </w:t>
            </w:r>
            <w:bookmarkEnd w:id="13"/>
          </w:p>
        </w:tc>
        <w:tc>
          <w:tcPr>
            <w:tcW w:w="1134" w:type="dxa"/>
            <w:vAlign w:val="center"/>
          </w:tcPr>
          <w:p w:rsidR="00A61B12" w:rsidRPr="00FE1175" w:rsidP="00A61B12" w14:paraId="6376F595" w14:textId="77777777">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rsidR="00A61B12" w:rsidRPr="00FE1175" w:rsidP="00A61B12" w14:paraId="65B8393B" w14:textId="77777777">
            <w:pPr>
              <w:widowControl w:val="0"/>
              <w:spacing w:line="256" w:lineRule="auto"/>
              <w:contextualSpacing/>
              <w:jc w:val="center"/>
              <w:outlineLvl w:val="0"/>
              <w:rPr>
                <w:rFonts w:eastAsia="Calibri" w:cs="Times New Roman"/>
              </w:rPr>
            </w:pPr>
            <w:r w:rsidRPr="00FE1175">
              <w:rPr>
                <w:rFonts w:eastAsia="Calibri" w:cs="Times New Roman"/>
              </w:rPr>
              <w:t>40%</w:t>
            </w:r>
          </w:p>
        </w:tc>
        <w:tc>
          <w:tcPr>
            <w:tcW w:w="1559" w:type="dxa"/>
            <w:vAlign w:val="center"/>
          </w:tcPr>
          <w:p w:rsidR="00A61B12" w:rsidRPr="00FE1175" w:rsidP="00A61B12" w14:paraId="6778800C" w14:textId="0D9AA4CA">
            <w:pPr>
              <w:widowControl w:val="0"/>
              <w:spacing w:line="256" w:lineRule="auto"/>
              <w:contextualSpacing/>
              <w:jc w:val="center"/>
              <w:outlineLvl w:val="0"/>
              <w:rPr>
                <w:rFonts w:eastAsia="Calibri" w:cs="Times New Roman"/>
              </w:rPr>
            </w:pPr>
            <w:r w:rsidRPr="00FE1175">
              <w:rPr>
                <w:rFonts w:eastAsia="Calibri" w:cs="Times New Roman"/>
              </w:rPr>
              <w:t>41</w:t>
            </w:r>
            <w:r w:rsidR="00FE1175">
              <w:rPr>
                <w:rFonts w:eastAsia="Calibri" w:cs="Times New Roman"/>
              </w:rPr>
              <w:t>.8</w:t>
            </w:r>
            <w:r w:rsidRPr="00FE1175" w:rsidR="00C23BC9">
              <w:rPr>
                <w:rFonts w:eastAsia="Calibri" w:cs="Times New Roman"/>
              </w:rPr>
              <w:t>%</w:t>
            </w:r>
          </w:p>
          <w:p w:rsidR="00A61B12" w:rsidRPr="00FE1175" w:rsidP="00A61B12" w14:paraId="14D5309E" w14:textId="2FBF7796">
            <w:pPr>
              <w:widowControl w:val="0"/>
              <w:spacing w:line="256" w:lineRule="auto"/>
              <w:contextualSpacing/>
              <w:jc w:val="center"/>
              <w:outlineLvl w:val="0"/>
              <w:rPr>
                <w:rFonts w:eastAsia="Calibri" w:cs="Times New Roman"/>
              </w:rPr>
            </w:pPr>
            <w:r w:rsidRPr="00FE1175">
              <w:rPr>
                <w:rFonts w:eastAsia="Calibri" w:cs="Times New Roman"/>
              </w:rPr>
              <w:t>(Q</w:t>
            </w:r>
            <w:r w:rsidR="00FE1175">
              <w:rPr>
                <w:rFonts w:eastAsia="Calibri" w:cs="Times New Roman"/>
              </w:rPr>
              <w:t>1</w:t>
            </w:r>
            <w:r w:rsidRPr="00FE1175" w:rsidR="003A6C84">
              <w:rPr>
                <w:rFonts w:eastAsia="Calibri" w:cs="Times New Roman"/>
              </w:rPr>
              <w:t>:</w:t>
            </w:r>
            <w:r w:rsidRPr="00FE1175">
              <w:rPr>
                <w:rFonts w:eastAsia="Calibri" w:cs="Times New Roman"/>
              </w:rPr>
              <w:t>202</w:t>
            </w:r>
            <w:r w:rsidR="00FE1175">
              <w:rPr>
                <w:rFonts w:eastAsia="Calibri" w:cs="Times New Roman"/>
              </w:rPr>
              <w:t>2</w:t>
            </w:r>
            <w:r w:rsidRPr="00FE1175">
              <w:rPr>
                <w:rFonts w:eastAsia="Calibri" w:cs="Times New Roman"/>
              </w:rPr>
              <w:t>/2</w:t>
            </w:r>
            <w:r w:rsidR="00FE1175">
              <w:rPr>
                <w:rFonts w:eastAsia="Calibri" w:cs="Times New Roman"/>
              </w:rPr>
              <w:t>3</w:t>
            </w:r>
            <w:r w:rsidRPr="00FE1175">
              <w:rPr>
                <w:rFonts w:eastAsia="Calibri" w:cs="Times New Roman"/>
              </w:rPr>
              <w:t>)</w:t>
            </w:r>
          </w:p>
        </w:tc>
        <w:tc>
          <w:tcPr>
            <w:tcW w:w="1413" w:type="dxa"/>
            <w:vAlign w:val="center"/>
          </w:tcPr>
          <w:p w:rsidR="00A61B12" w:rsidRPr="004A4A67" w:rsidP="00A61B12" w14:paraId="51B6D239" w14:textId="0713A99B">
            <w:pPr>
              <w:widowControl w:val="0"/>
              <w:spacing w:line="256" w:lineRule="auto"/>
              <w:contextualSpacing/>
              <w:jc w:val="center"/>
              <w:outlineLvl w:val="0"/>
              <w:rPr>
                <w:rFonts w:eastAsia="Calibri" w:cs="Times New Roman"/>
                <w:b/>
                <w:bCs/>
              </w:rPr>
            </w:pPr>
            <w:r w:rsidRPr="004A4A67">
              <w:rPr>
                <w:rFonts w:eastAsia="Calibri" w:cs="Times New Roman"/>
                <w:b/>
                <w:bCs/>
              </w:rPr>
              <w:t>29.8%</w:t>
            </w:r>
          </w:p>
        </w:tc>
        <w:tc>
          <w:tcPr>
            <w:tcW w:w="1134" w:type="dxa"/>
            <w:shd w:val="clear" w:color="auto" w:fill="auto"/>
            <w:vAlign w:val="center"/>
          </w:tcPr>
          <w:p w:rsidR="00A61B12" w:rsidRPr="00FE1175" w:rsidP="00A61B12" w14:paraId="6DABB0B7" w14:textId="2F63D279">
            <w:pPr>
              <w:widowControl w:val="0"/>
              <w:spacing w:line="256" w:lineRule="auto"/>
              <w:contextualSpacing/>
              <w:jc w:val="center"/>
              <w:outlineLvl w:val="0"/>
              <w:rPr>
                <w:rFonts w:eastAsia="Arial" w:cs="Times New Roman"/>
                <w:lang w:val="en-US"/>
              </w:rPr>
            </w:pPr>
            <w:r w:rsidRPr="00E52C0D">
              <w:rPr>
                <w:rFonts w:ascii="Wingdings 3" w:eastAsia="Arial" w:hAnsi="Wingdings 3" w:cs="Times New Roman"/>
                <w:color w:val="FF0000"/>
                <w:sz w:val="32"/>
              </w:rPr>
              <w:sym w:font="Wingdings 3" w:char="F070"/>
            </w:r>
          </w:p>
        </w:tc>
        <w:tc>
          <w:tcPr>
            <w:tcW w:w="1182" w:type="dxa"/>
            <w:shd w:val="clear" w:color="auto" w:fill="auto"/>
            <w:vAlign w:val="center"/>
          </w:tcPr>
          <w:p w:rsidR="00A61B12" w:rsidRPr="00FE1175" w:rsidP="00A61B12" w14:paraId="6EA75EC7" w14:textId="153E7E37">
            <w:pPr>
              <w:widowControl w:val="0"/>
              <w:spacing w:line="256" w:lineRule="auto"/>
              <w:contextualSpacing/>
              <w:jc w:val="center"/>
              <w:outlineLvl w:val="0"/>
              <w:rPr>
                <w:rFonts w:eastAsia="Calibri" w:cs="Times New Roman"/>
                <w:b/>
                <w:bCs/>
                <w:sz w:val="16"/>
                <w:szCs w:val="16"/>
              </w:rPr>
            </w:pPr>
            <w:r w:rsidRPr="004A4A67">
              <w:rPr>
                <w:rFonts w:eastAsia="Calibri" w:cs="Times New Roman"/>
                <w:b/>
                <w:bCs/>
                <w:color w:val="00B050"/>
                <w:sz w:val="20"/>
                <w:szCs w:val="20"/>
              </w:rPr>
              <w:t>Better than Q</w:t>
            </w:r>
            <w:r w:rsidRPr="004A4A67" w:rsidR="00FE1175">
              <w:rPr>
                <w:rFonts w:eastAsia="Calibri" w:cs="Times New Roman"/>
                <w:b/>
                <w:bCs/>
                <w:color w:val="00B050"/>
                <w:sz w:val="20"/>
                <w:szCs w:val="20"/>
              </w:rPr>
              <w:t>2</w:t>
            </w:r>
            <w:r w:rsidRPr="004A4A67">
              <w:rPr>
                <w:rFonts w:eastAsia="Calibri" w:cs="Times New Roman"/>
                <w:b/>
                <w:bCs/>
                <w:color w:val="00B050"/>
                <w:sz w:val="20"/>
                <w:szCs w:val="20"/>
              </w:rPr>
              <w:t xml:space="preserve"> 2021/22</w:t>
            </w:r>
          </w:p>
        </w:tc>
      </w:tr>
      <w:tr w14:paraId="13E88F9D" w14:textId="77777777" w:rsidTr="00A61B12">
        <w:tblPrEx>
          <w:tblW w:w="11242" w:type="dxa"/>
          <w:tblLayout w:type="fixed"/>
          <w:tblLook w:val="04A0"/>
        </w:tblPrEx>
        <w:trPr>
          <w:trHeight w:val="397"/>
        </w:trPr>
        <w:tc>
          <w:tcPr>
            <w:tcW w:w="11242" w:type="dxa"/>
            <w:gridSpan w:val="7"/>
            <w:tcBorders>
              <w:right w:val="single" w:sz="8" w:space="0" w:color="auto"/>
            </w:tcBorders>
            <w:shd w:val="clear" w:color="auto" w:fill="auto"/>
            <w:vAlign w:val="center"/>
          </w:tcPr>
          <w:p w:rsidR="000A503B" w:rsidRPr="00FE1175" w:rsidP="000A503B" w14:paraId="0100B9E7" w14:textId="77777777">
            <w:pPr>
              <w:widowControl w:val="0"/>
              <w:spacing w:line="256" w:lineRule="auto"/>
              <w:contextualSpacing/>
              <w:outlineLvl w:val="0"/>
              <w:rPr>
                <w:rFonts w:eastAsia="Calibri" w:cs="Times New Roman"/>
                <w:sz w:val="16"/>
                <w:szCs w:val="16"/>
              </w:rPr>
            </w:pPr>
            <w:r w:rsidRPr="00FE1175">
              <w:rPr>
                <w:rFonts w:eastAsia="Calibri" w:cs="Times New Roman"/>
                <w:b/>
                <w:bCs/>
                <w:color w:val="FF0000"/>
                <w:sz w:val="24"/>
              </w:rPr>
              <w:t>Thriving Communities</w:t>
            </w:r>
          </w:p>
        </w:tc>
      </w:tr>
      <w:tr w14:paraId="4B22D175" w14:textId="03C0FF4E" w:rsidTr="00DC66C7">
        <w:tblPrEx>
          <w:tblW w:w="11242" w:type="dxa"/>
          <w:tblLayout w:type="fixed"/>
          <w:tblLook w:val="04A0"/>
        </w:tblPrEx>
        <w:trPr>
          <w:trHeight w:val="1079"/>
        </w:trPr>
        <w:tc>
          <w:tcPr>
            <w:tcW w:w="3544" w:type="dxa"/>
            <w:tcBorders>
              <w:right w:val="single" w:sz="8" w:space="0" w:color="auto"/>
            </w:tcBorders>
            <w:shd w:val="clear" w:color="auto" w:fill="auto"/>
            <w:vAlign w:val="center"/>
          </w:tcPr>
          <w:p w:rsidR="000A503B" w:rsidRPr="00FE1175" w:rsidP="000A503B" w14:paraId="5BDA3275" w14:textId="6E8F7863">
            <w:pPr>
              <w:widowControl w:val="0"/>
              <w:spacing w:line="256" w:lineRule="auto"/>
              <w:contextualSpacing/>
              <w:outlineLvl w:val="0"/>
              <w:rPr>
                <w:rFonts w:eastAsia="Calibri"/>
              </w:rPr>
            </w:pPr>
            <w:r w:rsidRPr="00FE1175">
              <w:rPr>
                <w:rFonts w:eastAsia="Calibri"/>
              </w:rPr>
              <w:t>Number of new savers with Unify Credit Union in South Ribble</w:t>
            </w:r>
          </w:p>
        </w:tc>
        <w:tc>
          <w:tcPr>
            <w:tcW w:w="1134" w:type="dxa"/>
            <w:tcBorders>
              <w:right w:val="single" w:sz="8" w:space="0" w:color="auto"/>
            </w:tcBorders>
            <w:shd w:val="clear" w:color="auto" w:fill="auto"/>
            <w:vAlign w:val="center"/>
          </w:tcPr>
          <w:p w:rsidR="000A503B" w:rsidRPr="00FE1175" w:rsidP="000A503B" w14:paraId="5CCE8F3A" w14:textId="5839D90E">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right w:val="single" w:sz="8" w:space="0" w:color="auto"/>
            </w:tcBorders>
            <w:shd w:val="clear" w:color="auto" w:fill="auto"/>
            <w:vAlign w:val="center"/>
          </w:tcPr>
          <w:p w:rsidR="000A503B" w:rsidRPr="00FE1175" w:rsidP="000A503B" w14:paraId="7B59889F" w14:textId="0955BED5">
            <w:pPr>
              <w:widowControl w:val="0"/>
              <w:spacing w:line="256" w:lineRule="auto"/>
              <w:contextualSpacing/>
              <w:jc w:val="center"/>
              <w:outlineLvl w:val="0"/>
              <w:rPr>
                <w:rFonts w:eastAsia="Calibri" w:cs="Times New Roman"/>
              </w:rPr>
            </w:pPr>
            <w:r>
              <w:rPr>
                <w:rFonts w:eastAsia="Calibri" w:cs="Times New Roman"/>
              </w:rPr>
              <w:t>100</w:t>
            </w:r>
          </w:p>
        </w:tc>
        <w:tc>
          <w:tcPr>
            <w:tcW w:w="1559" w:type="dxa"/>
            <w:tcBorders>
              <w:right w:val="single" w:sz="8" w:space="0" w:color="auto"/>
            </w:tcBorders>
            <w:shd w:val="clear" w:color="auto" w:fill="auto"/>
            <w:vAlign w:val="center"/>
          </w:tcPr>
          <w:p w:rsidR="00FB1ABE" w:rsidRPr="00FE1175" w:rsidP="00FB1ABE" w14:paraId="34DB32D3" w14:textId="7F99FE44">
            <w:pPr>
              <w:widowControl w:val="0"/>
              <w:spacing w:line="256" w:lineRule="auto"/>
              <w:contextualSpacing/>
              <w:jc w:val="center"/>
              <w:outlineLvl w:val="0"/>
              <w:rPr>
                <w:rFonts w:eastAsia="Calibri" w:cs="Times New Roman"/>
              </w:rPr>
            </w:pPr>
            <w:r>
              <w:rPr>
                <w:rFonts w:eastAsia="Calibri" w:cs="Times New Roman"/>
              </w:rPr>
              <w:t>38</w:t>
            </w:r>
          </w:p>
          <w:p w:rsidR="000A503B" w:rsidRPr="00FE1175" w:rsidP="00FB1ABE" w14:paraId="58399441" w14:textId="56363DC4">
            <w:pPr>
              <w:widowControl w:val="0"/>
              <w:spacing w:line="256" w:lineRule="auto"/>
              <w:contextualSpacing/>
              <w:jc w:val="center"/>
              <w:outlineLvl w:val="0"/>
              <w:rPr>
                <w:rFonts w:eastAsia="Calibri" w:cs="Times New Roman"/>
              </w:rPr>
            </w:pPr>
            <w:r w:rsidRPr="00FE1175">
              <w:rPr>
                <w:rFonts w:eastAsia="Calibri" w:cs="Times New Roman"/>
              </w:rPr>
              <w:t>(</w:t>
            </w:r>
            <w:r w:rsidRPr="00FE1175" w:rsidR="00FE1175">
              <w:rPr>
                <w:rFonts w:eastAsia="Calibri" w:cs="Times New Roman"/>
              </w:rPr>
              <w:t>Q</w:t>
            </w:r>
            <w:r w:rsidR="00FE1175">
              <w:rPr>
                <w:rFonts w:eastAsia="Calibri" w:cs="Times New Roman"/>
              </w:rPr>
              <w:t>1</w:t>
            </w:r>
            <w:r w:rsidRPr="00FE1175" w:rsidR="00FE1175">
              <w:rPr>
                <w:rFonts w:eastAsia="Calibri" w:cs="Times New Roman"/>
              </w:rPr>
              <w:t>:202</w:t>
            </w:r>
            <w:r w:rsidR="00FE1175">
              <w:rPr>
                <w:rFonts w:eastAsia="Calibri" w:cs="Times New Roman"/>
              </w:rPr>
              <w:t>2</w:t>
            </w:r>
            <w:r w:rsidRPr="00FE1175" w:rsidR="00FE1175">
              <w:rPr>
                <w:rFonts w:eastAsia="Calibri" w:cs="Times New Roman"/>
              </w:rPr>
              <w:t>/2</w:t>
            </w:r>
            <w:r w:rsidR="00FE1175">
              <w:rPr>
                <w:rFonts w:eastAsia="Calibri" w:cs="Times New Roman"/>
              </w:rPr>
              <w:t>3</w:t>
            </w:r>
            <w:r w:rsidRPr="00FE1175">
              <w:rPr>
                <w:rFonts w:eastAsia="Calibri" w:cs="Times New Roman"/>
              </w:rPr>
              <w:t>)</w:t>
            </w:r>
          </w:p>
        </w:tc>
        <w:tc>
          <w:tcPr>
            <w:tcW w:w="1413" w:type="dxa"/>
            <w:tcBorders>
              <w:right w:val="single" w:sz="8" w:space="0" w:color="auto"/>
            </w:tcBorders>
            <w:shd w:val="clear" w:color="auto" w:fill="auto"/>
            <w:vAlign w:val="center"/>
          </w:tcPr>
          <w:p w:rsidR="000A503B" w:rsidRPr="00FE1175" w:rsidP="000A503B" w14:paraId="33F96605" w14:textId="40C8AF7E">
            <w:pPr>
              <w:widowControl w:val="0"/>
              <w:spacing w:line="256" w:lineRule="auto"/>
              <w:contextualSpacing/>
              <w:jc w:val="center"/>
              <w:outlineLvl w:val="0"/>
              <w:rPr>
                <w:rFonts w:eastAsia="Calibri" w:cs="Times New Roman"/>
                <w:b/>
                <w:bCs/>
                <w:highlight w:val="yellow"/>
              </w:rPr>
            </w:pPr>
            <w:r w:rsidRPr="00B91CC1">
              <w:rPr>
                <w:rFonts w:eastAsia="Calibri" w:cs="Times New Roman"/>
                <w:b/>
                <w:bCs/>
              </w:rPr>
              <w:t>69</w:t>
            </w:r>
            <w:r w:rsidR="00940C5C">
              <w:rPr>
                <w:rFonts w:eastAsia="Calibri" w:cs="Times New Roman"/>
                <w:b/>
                <w:bCs/>
              </w:rPr>
              <w:t xml:space="preserve"> (31)</w:t>
            </w:r>
          </w:p>
        </w:tc>
        <w:tc>
          <w:tcPr>
            <w:tcW w:w="1134" w:type="dxa"/>
            <w:tcBorders>
              <w:right w:val="single" w:sz="8" w:space="0" w:color="auto"/>
            </w:tcBorders>
            <w:shd w:val="clear" w:color="auto" w:fill="auto"/>
            <w:vAlign w:val="center"/>
          </w:tcPr>
          <w:p w:rsidR="000A503B" w:rsidRPr="00FE1175" w:rsidP="000A503B" w14:paraId="01CB9095" w14:textId="28C9B171">
            <w:pPr>
              <w:widowControl w:val="0"/>
              <w:spacing w:line="256" w:lineRule="auto"/>
              <w:contextualSpacing/>
              <w:jc w:val="center"/>
              <w:outlineLvl w:val="0"/>
              <w:rPr>
                <w:rFonts w:ascii="Wingdings" w:eastAsia="Arial" w:hAnsi="Wingdings" w:cs="Times New Roman"/>
                <w:color w:val="00B050"/>
                <w:sz w:val="44"/>
              </w:rPr>
            </w:pPr>
            <w:r w:rsidRPr="00E52C0D">
              <w:rPr>
                <w:rFonts w:ascii="Wingdings 3" w:eastAsia="Arial" w:hAnsi="Wingdings 3" w:cs="Times New Roman"/>
                <w:color w:val="FF0000"/>
                <w:sz w:val="32"/>
              </w:rPr>
              <w:sym w:font="Wingdings 3" w:char="F070"/>
            </w:r>
          </w:p>
        </w:tc>
        <w:tc>
          <w:tcPr>
            <w:tcW w:w="1182" w:type="dxa"/>
            <w:tcBorders>
              <w:right w:val="single" w:sz="8" w:space="0" w:color="auto"/>
            </w:tcBorders>
            <w:shd w:val="clear" w:color="auto" w:fill="auto"/>
            <w:vAlign w:val="center"/>
          </w:tcPr>
          <w:p w:rsidR="000A503B" w:rsidRPr="00FE1175" w:rsidP="000A503B" w14:paraId="79765188" w14:textId="6A781033">
            <w:pPr>
              <w:widowControl w:val="0"/>
              <w:spacing w:line="256" w:lineRule="auto"/>
              <w:contextualSpacing/>
              <w:jc w:val="center"/>
              <w:outlineLvl w:val="0"/>
              <w:rPr>
                <w:rFonts w:eastAsia="Calibri" w:cs="Times New Roman"/>
                <w:color w:val="FF0000"/>
                <w:sz w:val="20"/>
                <w:szCs w:val="20"/>
              </w:rPr>
            </w:pPr>
            <w:r w:rsidRPr="008576E2">
              <w:rPr>
                <w:rFonts w:eastAsia="Calibri" w:cstheme="minorHAnsi"/>
                <w:b/>
                <w:bCs/>
                <w:color w:val="FF0000"/>
                <w:sz w:val="20"/>
                <w:szCs w:val="20"/>
              </w:rPr>
              <w:t>Worse than Q2 2021/22</w:t>
            </w:r>
          </w:p>
        </w:tc>
      </w:tr>
      <w:bookmarkEnd w:id="12"/>
      <w:tr w14:paraId="2485C4D9" w14:textId="77777777" w:rsidTr="00DC66C7">
        <w:tblPrEx>
          <w:tblW w:w="11242" w:type="dxa"/>
          <w:tblLayout w:type="fixed"/>
          <w:tblLook w:val="04A0"/>
        </w:tblPrEx>
        <w:trPr>
          <w:trHeight w:val="1079"/>
        </w:trPr>
        <w:tc>
          <w:tcPr>
            <w:tcW w:w="3544" w:type="dxa"/>
            <w:tcBorders>
              <w:right w:val="single" w:sz="8" w:space="0" w:color="auto"/>
            </w:tcBorders>
            <w:shd w:val="clear" w:color="auto" w:fill="auto"/>
            <w:vAlign w:val="center"/>
          </w:tcPr>
          <w:p w:rsidR="00D914B0" w:rsidRPr="00FE1175" w:rsidP="00D914B0" w14:paraId="11CA5A6F" w14:textId="77777777">
            <w:pPr>
              <w:widowControl w:val="0"/>
              <w:spacing w:line="256" w:lineRule="auto"/>
              <w:contextualSpacing/>
              <w:outlineLvl w:val="0"/>
              <w:rPr>
                <w:rFonts w:eastAsia="Calibri"/>
              </w:rPr>
            </w:pPr>
            <w:r w:rsidRPr="00FE1175">
              <w:rPr>
                <w:rFonts w:eastAsia="Calibri"/>
              </w:rPr>
              <w:t>The number of claimants as a proportion of resident population of area aged 16-64 is better than North West average</w:t>
            </w:r>
          </w:p>
        </w:tc>
        <w:tc>
          <w:tcPr>
            <w:tcW w:w="1134" w:type="dxa"/>
            <w:tcBorders>
              <w:right w:val="single" w:sz="8" w:space="0" w:color="auto"/>
            </w:tcBorders>
            <w:shd w:val="clear" w:color="auto" w:fill="auto"/>
            <w:vAlign w:val="center"/>
          </w:tcPr>
          <w:p w:rsidR="00D914B0" w:rsidRPr="00FE1175" w:rsidP="00D914B0" w14:paraId="1AFC2181" w14:textId="77777777">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tcBorders>
              <w:right w:val="single" w:sz="8" w:space="0" w:color="auto"/>
            </w:tcBorders>
            <w:shd w:val="clear" w:color="auto" w:fill="auto"/>
            <w:vAlign w:val="center"/>
          </w:tcPr>
          <w:p w:rsidR="00D914B0" w:rsidRPr="00FE1175" w:rsidP="00D914B0" w14:paraId="559E08C9" w14:textId="32584FDF">
            <w:pPr>
              <w:widowControl w:val="0"/>
              <w:spacing w:line="256" w:lineRule="auto"/>
              <w:contextualSpacing/>
              <w:jc w:val="center"/>
              <w:outlineLvl w:val="0"/>
              <w:rPr>
                <w:rFonts w:eastAsia="Calibri" w:cs="Times New Roman"/>
              </w:rPr>
            </w:pPr>
            <w:r>
              <w:rPr>
                <w:rFonts w:eastAsia="Calibri" w:cs="Times New Roman"/>
              </w:rPr>
              <w:t>4.2%</w:t>
            </w:r>
          </w:p>
        </w:tc>
        <w:tc>
          <w:tcPr>
            <w:tcW w:w="1559" w:type="dxa"/>
            <w:tcBorders>
              <w:right w:val="single" w:sz="8" w:space="0" w:color="auto"/>
            </w:tcBorders>
            <w:shd w:val="clear" w:color="auto" w:fill="auto"/>
            <w:vAlign w:val="center"/>
          </w:tcPr>
          <w:p w:rsidR="00D914B0" w:rsidRPr="00FE1175" w:rsidP="00D914B0" w14:paraId="2AC3E654" w14:textId="64DE409B">
            <w:pPr>
              <w:widowControl w:val="0"/>
              <w:spacing w:line="256" w:lineRule="auto"/>
              <w:contextualSpacing/>
              <w:jc w:val="center"/>
              <w:outlineLvl w:val="0"/>
              <w:rPr>
                <w:rFonts w:eastAsia="Calibri" w:cs="Times New Roman"/>
              </w:rPr>
            </w:pPr>
            <w:r w:rsidRPr="00FE1175">
              <w:rPr>
                <w:rFonts w:eastAsia="Calibri" w:cs="Times New Roman"/>
              </w:rPr>
              <w:t>2.</w:t>
            </w:r>
            <w:r w:rsidR="00FE1175">
              <w:rPr>
                <w:rFonts w:eastAsia="Calibri" w:cs="Times New Roman"/>
              </w:rPr>
              <w:t>3</w:t>
            </w:r>
            <w:r w:rsidRPr="00FE1175">
              <w:rPr>
                <w:rFonts w:eastAsia="Calibri" w:cs="Times New Roman"/>
              </w:rPr>
              <w:t>%</w:t>
            </w:r>
          </w:p>
          <w:p w:rsidR="00D914B0" w:rsidRPr="00FE1175" w:rsidP="00D914B0" w14:paraId="38680027" w14:textId="240670B9">
            <w:pPr>
              <w:widowControl w:val="0"/>
              <w:spacing w:line="256" w:lineRule="auto"/>
              <w:contextualSpacing/>
              <w:jc w:val="center"/>
              <w:outlineLvl w:val="0"/>
              <w:rPr>
                <w:rFonts w:eastAsia="Calibri" w:cs="Times New Roman"/>
              </w:rPr>
            </w:pPr>
            <w:r w:rsidRPr="00FE1175">
              <w:rPr>
                <w:rFonts w:eastAsia="Calibri" w:cs="Times New Roman"/>
              </w:rPr>
              <w:t>(</w:t>
            </w:r>
            <w:r w:rsidR="00FE1175">
              <w:rPr>
                <w:rFonts w:eastAsia="Calibri" w:cs="Times New Roman"/>
              </w:rPr>
              <w:t>Q1</w:t>
            </w:r>
            <w:r w:rsidRPr="00FE1175" w:rsidR="00FE1175">
              <w:rPr>
                <w:rFonts w:eastAsia="Calibri" w:cs="Times New Roman"/>
              </w:rPr>
              <w:t>:202</w:t>
            </w:r>
            <w:r w:rsidR="00FE1175">
              <w:rPr>
                <w:rFonts w:eastAsia="Calibri" w:cs="Times New Roman"/>
              </w:rPr>
              <w:t>2</w:t>
            </w:r>
            <w:r w:rsidRPr="00FE1175" w:rsidR="00FE1175">
              <w:rPr>
                <w:rFonts w:eastAsia="Calibri" w:cs="Times New Roman"/>
              </w:rPr>
              <w:t>/2</w:t>
            </w:r>
            <w:r w:rsidR="00FE1175">
              <w:rPr>
                <w:rFonts w:eastAsia="Calibri" w:cs="Times New Roman"/>
              </w:rPr>
              <w:t>3</w:t>
            </w:r>
            <w:r w:rsidRPr="00FE1175">
              <w:rPr>
                <w:rFonts w:eastAsia="Calibri" w:cs="Times New Roman"/>
              </w:rPr>
              <w:t>)</w:t>
            </w:r>
          </w:p>
        </w:tc>
        <w:tc>
          <w:tcPr>
            <w:tcW w:w="1413" w:type="dxa"/>
            <w:tcBorders>
              <w:right w:val="single" w:sz="8" w:space="0" w:color="auto"/>
            </w:tcBorders>
            <w:shd w:val="clear" w:color="auto" w:fill="auto"/>
            <w:vAlign w:val="center"/>
          </w:tcPr>
          <w:p w:rsidR="00D914B0" w:rsidRPr="00FE1175" w:rsidP="00D914B0" w14:paraId="08DAB7A1" w14:textId="39F35F3A">
            <w:pPr>
              <w:widowControl w:val="0"/>
              <w:spacing w:line="256" w:lineRule="auto"/>
              <w:contextualSpacing/>
              <w:jc w:val="center"/>
              <w:outlineLvl w:val="0"/>
              <w:rPr>
                <w:rFonts w:eastAsia="Calibri" w:cs="Times New Roman"/>
                <w:b/>
                <w:bCs/>
                <w:highlight w:val="yellow"/>
              </w:rPr>
            </w:pPr>
            <w:r w:rsidRPr="00FF1312">
              <w:rPr>
                <w:rFonts w:eastAsia="Calibri" w:cs="Times New Roman"/>
                <w:b/>
                <w:bCs/>
              </w:rPr>
              <w:t>2.3%</w:t>
            </w:r>
          </w:p>
        </w:tc>
        <w:tc>
          <w:tcPr>
            <w:tcW w:w="1134" w:type="dxa"/>
            <w:tcBorders>
              <w:right w:val="single" w:sz="8" w:space="0" w:color="auto"/>
            </w:tcBorders>
            <w:shd w:val="clear" w:color="auto" w:fill="auto"/>
            <w:vAlign w:val="center"/>
          </w:tcPr>
          <w:p w:rsidR="00D914B0" w:rsidRPr="00FE1175" w:rsidP="00D914B0" w14:paraId="49C35EB3" w14:textId="307AE8BF">
            <w:pPr>
              <w:widowControl w:val="0"/>
              <w:spacing w:line="256" w:lineRule="auto"/>
              <w:contextualSpacing/>
              <w:jc w:val="center"/>
              <w:outlineLvl w:val="0"/>
              <w:rPr>
                <w:rFonts w:ascii="Wingdings" w:eastAsia="Arial" w:hAnsi="Wingdings" w:cs="Times New Roman"/>
                <w:color w:val="00B050"/>
                <w:sz w:val="44"/>
              </w:rPr>
            </w:pPr>
            <w:r w:rsidRPr="00E52C0D">
              <w:rPr>
                <w:rFonts w:ascii="Wingdings" w:eastAsia="Arial" w:hAnsi="Wingdings" w:cs="Times New Roman"/>
                <w:color w:val="00B050"/>
                <w:sz w:val="44"/>
              </w:rPr>
              <w:sym w:font="Wingdings" w:char="F0AB"/>
            </w:r>
          </w:p>
        </w:tc>
        <w:tc>
          <w:tcPr>
            <w:tcW w:w="1182" w:type="dxa"/>
            <w:tcBorders>
              <w:right w:val="single" w:sz="8" w:space="0" w:color="auto"/>
            </w:tcBorders>
            <w:shd w:val="clear" w:color="auto" w:fill="auto"/>
            <w:vAlign w:val="center"/>
          </w:tcPr>
          <w:p w:rsidR="00D914B0" w:rsidRPr="00FE1175" w:rsidP="00DC66C7" w14:paraId="6714D03E" w14:textId="1650505E">
            <w:pPr>
              <w:widowControl w:val="0"/>
              <w:spacing w:line="256" w:lineRule="auto"/>
              <w:contextualSpacing/>
              <w:jc w:val="center"/>
              <w:outlineLvl w:val="0"/>
              <w:rPr>
                <w:rFonts w:eastAsia="Calibri" w:cs="Times New Roman"/>
                <w:b/>
                <w:bCs/>
                <w:color w:val="FF0000"/>
                <w:sz w:val="20"/>
                <w:szCs w:val="20"/>
              </w:rPr>
            </w:pPr>
            <w:r w:rsidRPr="004A4A67">
              <w:rPr>
                <w:rFonts w:eastAsia="Calibri" w:cs="Times New Roman"/>
                <w:b/>
                <w:bCs/>
                <w:color w:val="00B050"/>
                <w:sz w:val="20"/>
                <w:szCs w:val="20"/>
              </w:rPr>
              <w:t>Better than Q2 2021/22</w:t>
            </w:r>
          </w:p>
        </w:tc>
      </w:tr>
      <w:tr w14:paraId="722156AC" w14:textId="77777777" w:rsidTr="00DC66C7">
        <w:tblPrEx>
          <w:tblW w:w="11242" w:type="dxa"/>
          <w:tblLayout w:type="fixed"/>
          <w:tblLook w:val="04A0"/>
        </w:tblPrEx>
        <w:trPr>
          <w:trHeight w:val="1079"/>
        </w:trPr>
        <w:tc>
          <w:tcPr>
            <w:tcW w:w="3544" w:type="dxa"/>
            <w:tcBorders>
              <w:right w:val="single" w:sz="8" w:space="0" w:color="auto"/>
            </w:tcBorders>
            <w:shd w:val="clear" w:color="auto" w:fill="auto"/>
            <w:vAlign w:val="center"/>
          </w:tcPr>
          <w:p w:rsidR="00D914B0" w:rsidRPr="00FE1175" w:rsidP="00D914B0" w14:paraId="3ADD8902" w14:textId="77777777">
            <w:pPr>
              <w:widowControl w:val="0"/>
              <w:spacing w:line="256" w:lineRule="auto"/>
              <w:contextualSpacing/>
              <w:outlineLvl w:val="0"/>
              <w:rPr>
                <w:rFonts w:eastAsia="Calibri"/>
              </w:rPr>
            </w:pPr>
            <w:r w:rsidRPr="00FE1175">
              <w:rPr>
                <w:rFonts w:eastAsia="Calibri"/>
              </w:rPr>
              <w:t xml:space="preserve">Number of </w:t>
            </w:r>
            <w:r w:rsidRPr="00FE1175">
              <w:rPr>
                <w:rFonts w:eastAsia="Calibri"/>
              </w:rPr>
              <w:t>residents participating in activities delivered by the Council</w:t>
            </w:r>
          </w:p>
        </w:tc>
        <w:tc>
          <w:tcPr>
            <w:tcW w:w="1134" w:type="dxa"/>
            <w:tcBorders>
              <w:right w:val="single" w:sz="8" w:space="0" w:color="auto"/>
            </w:tcBorders>
            <w:shd w:val="clear" w:color="auto" w:fill="auto"/>
            <w:vAlign w:val="center"/>
          </w:tcPr>
          <w:p w:rsidR="00D914B0" w:rsidRPr="00FE1175" w:rsidP="00D914B0" w14:paraId="5FDDD2D6" w14:textId="77777777">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right w:val="single" w:sz="8" w:space="0" w:color="auto"/>
            </w:tcBorders>
            <w:shd w:val="clear" w:color="auto" w:fill="auto"/>
            <w:vAlign w:val="center"/>
          </w:tcPr>
          <w:p w:rsidR="00D93010" w:rsidRPr="00FE1175" w:rsidP="00D914B0" w14:paraId="61670ECD" w14:textId="6A4E3C21">
            <w:pPr>
              <w:widowControl w:val="0"/>
              <w:spacing w:line="256" w:lineRule="auto"/>
              <w:contextualSpacing/>
              <w:jc w:val="center"/>
              <w:outlineLvl w:val="0"/>
              <w:rPr>
                <w:rFonts w:eastAsia="Calibri" w:cs="Times New Roman"/>
              </w:rPr>
            </w:pPr>
            <w:r>
              <w:rPr>
                <w:rFonts w:eastAsia="Calibri" w:cs="Times New Roman"/>
              </w:rPr>
              <w:t>200</w:t>
            </w:r>
          </w:p>
        </w:tc>
        <w:tc>
          <w:tcPr>
            <w:tcW w:w="1559" w:type="dxa"/>
            <w:tcBorders>
              <w:right w:val="single" w:sz="8" w:space="0" w:color="auto"/>
            </w:tcBorders>
            <w:shd w:val="clear" w:color="auto" w:fill="auto"/>
            <w:vAlign w:val="center"/>
          </w:tcPr>
          <w:p w:rsidR="00D914B0" w:rsidP="00D914B0" w14:paraId="64835B60" w14:textId="77777777">
            <w:pPr>
              <w:widowControl w:val="0"/>
              <w:spacing w:line="256" w:lineRule="auto"/>
              <w:contextualSpacing/>
              <w:jc w:val="center"/>
              <w:outlineLvl w:val="0"/>
              <w:rPr>
                <w:rFonts w:eastAsia="Calibri" w:cs="Times New Roman"/>
              </w:rPr>
            </w:pPr>
            <w:r>
              <w:rPr>
                <w:rFonts w:eastAsia="Calibri" w:cs="Times New Roman"/>
              </w:rPr>
              <w:t>2,106</w:t>
            </w:r>
          </w:p>
          <w:p w:rsidR="00FE1175" w:rsidRPr="00FE1175" w:rsidP="00D914B0" w14:paraId="49AFBA85" w14:textId="1E55680A">
            <w:pPr>
              <w:widowControl w:val="0"/>
              <w:spacing w:line="256" w:lineRule="auto"/>
              <w:contextualSpacing/>
              <w:jc w:val="center"/>
              <w:outlineLvl w:val="0"/>
              <w:rPr>
                <w:rFonts w:eastAsia="Calibri" w:cs="Times New Roman"/>
              </w:rPr>
            </w:pPr>
            <w:r w:rsidRPr="00FE1175">
              <w:rPr>
                <w:rFonts w:eastAsia="Calibri" w:cs="Times New Roman"/>
              </w:rPr>
              <w:t>(</w:t>
            </w:r>
            <w:r>
              <w:rPr>
                <w:rFonts w:eastAsia="Calibri" w:cs="Times New Roman"/>
              </w:rPr>
              <w:t>Q1</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13" w:type="dxa"/>
            <w:tcBorders>
              <w:right w:val="single" w:sz="8" w:space="0" w:color="auto"/>
            </w:tcBorders>
            <w:shd w:val="clear" w:color="auto" w:fill="auto"/>
            <w:vAlign w:val="center"/>
          </w:tcPr>
          <w:p w:rsidR="00D914B0" w:rsidRPr="00FE1175" w:rsidP="00D914B0" w14:paraId="7593574E" w14:textId="0B229898">
            <w:pPr>
              <w:widowControl w:val="0"/>
              <w:spacing w:line="256" w:lineRule="auto"/>
              <w:contextualSpacing/>
              <w:jc w:val="center"/>
              <w:outlineLvl w:val="0"/>
              <w:rPr>
                <w:rFonts w:eastAsia="Calibri" w:cs="Times New Roman"/>
                <w:b/>
                <w:bCs/>
              </w:rPr>
            </w:pPr>
            <w:r>
              <w:rPr>
                <w:rFonts w:eastAsia="Calibri" w:cs="Times New Roman"/>
                <w:b/>
                <w:bCs/>
              </w:rPr>
              <w:t>4,600</w:t>
            </w:r>
          </w:p>
        </w:tc>
        <w:tc>
          <w:tcPr>
            <w:tcW w:w="1134" w:type="dxa"/>
            <w:tcBorders>
              <w:right w:val="single" w:sz="8" w:space="0" w:color="auto"/>
            </w:tcBorders>
            <w:shd w:val="clear" w:color="auto" w:fill="auto"/>
            <w:vAlign w:val="center"/>
          </w:tcPr>
          <w:p w:rsidR="00D914B0" w:rsidRPr="00FE1175" w:rsidP="00D914B0" w14:paraId="3089471E" w14:textId="3B8D62FA">
            <w:pPr>
              <w:widowControl w:val="0"/>
              <w:spacing w:line="256" w:lineRule="auto"/>
              <w:contextualSpacing/>
              <w:jc w:val="center"/>
              <w:outlineLvl w:val="0"/>
              <w:rPr>
                <w:rFonts w:ascii="Wingdings" w:eastAsia="Arial" w:hAnsi="Wingdings" w:cs="Times New Roman"/>
                <w:color w:val="00B050"/>
                <w:sz w:val="44"/>
              </w:rPr>
            </w:pPr>
            <w:r w:rsidRPr="00E52C0D">
              <w:rPr>
                <w:rFonts w:ascii="Wingdings" w:eastAsia="Arial" w:hAnsi="Wingdings" w:cs="Times New Roman"/>
                <w:color w:val="00B050"/>
                <w:sz w:val="44"/>
              </w:rPr>
              <w:sym w:font="Wingdings" w:char="F0AB"/>
            </w:r>
          </w:p>
        </w:tc>
        <w:tc>
          <w:tcPr>
            <w:tcW w:w="1182" w:type="dxa"/>
            <w:tcBorders>
              <w:right w:val="single" w:sz="8" w:space="0" w:color="auto"/>
            </w:tcBorders>
            <w:shd w:val="clear" w:color="auto" w:fill="auto"/>
            <w:vAlign w:val="center"/>
          </w:tcPr>
          <w:p w:rsidR="00D914B0" w:rsidRPr="00FE1175" w:rsidP="00D914B0" w14:paraId="1D7A2670" w14:textId="77777777">
            <w:pPr>
              <w:widowControl w:val="0"/>
              <w:spacing w:line="256" w:lineRule="auto"/>
              <w:contextualSpacing/>
              <w:jc w:val="center"/>
              <w:outlineLvl w:val="0"/>
              <w:rPr>
                <w:rFonts w:eastAsia="Calibri" w:cs="Times New Roman"/>
                <w:b/>
                <w:bCs/>
                <w:sz w:val="20"/>
                <w:szCs w:val="20"/>
              </w:rPr>
            </w:pPr>
            <w:r w:rsidRPr="00FE1175">
              <w:rPr>
                <w:rFonts w:eastAsia="Calibri" w:cs="Times New Roman"/>
                <w:b/>
                <w:bCs/>
                <w:sz w:val="20"/>
                <w:szCs w:val="20"/>
              </w:rPr>
              <w:t>New for 2022/23</w:t>
            </w:r>
          </w:p>
        </w:tc>
      </w:tr>
      <w:tr w14:paraId="1CFDDDAB" w14:textId="77777777" w:rsidTr="00A61B12">
        <w:tblPrEx>
          <w:tblW w:w="11242" w:type="dxa"/>
          <w:tblLayout w:type="fixed"/>
          <w:tblLook w:val="04A0"/>
        </w:tblPrEx>
        <w:trPr>
          <w:trHeight w:val="397"/>
        </w:trPr>
        <w:tc>
          <w:tcPr>
            <w:tcW w:w="11242" w:type="dxa"/>
            <w:gridSpan w:val="7"/>
            <w:tcBorders>
              <w:right w:val="single" w:sz="8" w:space="0" w:color="auto"/>
            </w:tcBorders>
            <w:shd w:val="clear" w:color="auto" w:fill="auto"/>
            <w:vAlign w:val="center"/>
          </w:tcPr>
          <w:p w:rsidR="00D914B0" w:rsidRPr="00FE1175" w:rsidP="00D914B0" w14:paraId="04070956" w14:textId="77777777">
            <w:pPr>
              <w:widowControl w:val="0"/>
              <w:spacing w:line="256" w:lineRule="auto"/>
              <w:contextualSpacing/>
              <w:outlineLvl w:val="0"/>
              <w:rPr>
                <w:rFonts w:eastAsia="Calibri" w:cs="Times New Roman"/>
                <w:b/>
                <w:bCs/>
                <w:color w:val="7030A0"/>
                <w:sz w:val="24"/>
              </w:rPr>
            </w:pPr>
            <w:bookmarkStart w:id="14" w:name="_Hlk64544405"/>
            <w:r w:rsidRPr="00FE1175">
              <w:rPr>
                <w:rFonts w:eastAsia="Calibri" w:cs="Times New Roman"/>
                <w:b/>
                <w:bCs/>
                <w:color w:val="7030A0"/>
                <w:sz w:val="24"/>
              </w:rPr>
              <w:t>A fair local economy that works for everyone</w:t>
            </w:r>
          </w:p>
        </w:tc>
      </w:tr>
      <w:tr w14:paraId="7F7C89E2" w14:textId="77777777" w:rsidTr="00DC66C7">
        <w:tblPrEx>
          <w:tblW w:w="11242" w:type="dxa"/>
          <w:tblLayout w:type="fixed"/>
          <w:tblLook w:val="04A0"/>
        </w:tblPrEx>
        <w:trPr>
          <w:trHeight w:val="810"/>
        </w:trPr>
        <w:tc>
          <w:tcPr>
            <w:tcW w:w="3544" w:type="dxa"/>
            <w:tcBorders>
              <w:right w:val="single" w:sz="8" w:space="0" w:color="auto"/>
            </w:tcBorders>
            <w:shd w:val="clear" w:color="auto" w:fill="auto"/>
            <w:vAlign w:val="center"/>
          </w:tcPr>
          <w:p w:rsidR="00D914B0" w:rsidRPr="00FE1175" w:rsidP="00D914B0" w14:paraId="522DB027" w14:textId="43A0804D">
            <w:pPr>
              <w:widowControl w:val="0"/>
              <w:spacing w:line="256" w:lineRule="auto"/>
              <w:contextualSpacing/>
              <w:outlineLvl w:val="0"/>
              <w:rPr>
                <w:rFonts w:eastAsia="Calibri" w:cs="Times New Roman"/>
              </w:rPr>
            </w:pPr>
            <w:bookmarkStart w:id="15" w:name="_Hlk109390552"/>
            <w:r w:rsidRPr="00FE1175">
              <w:rPr>
                <w:rFonts w:eastAsia="Calibri"/>
              </w:rPr>
              <w:t>The total social value delivered locally through the Social Value portal</w:t>
            </w:r>
            <w:bookmarkEnd w:id="15"/>
            <w:r w:rsidR="00460E5E">
              <w:rPr>
                <w:rFonts w:eastAsia="Calibri"/>
              </w:rPr>
              <w:t xml:space="preserve"> (Cumulative)</w:t>
            </w:r>
          </w:p>
        </w:tc>
        <w:tc>
          <w:tcPr>
            <w:tcW w:w="1134" w:type="dxa"/>
            <w:tcBorders>
              <w:right w:val="single" w:sz="8" w:space="0" w:color="auto"/>
            </w:tcBorders>
            <w:shd w:val="clear" w:color="auto" w:fill="auto"/>
            <w:vAlign w:val="center"/>
          </w:tcPr>
          <w:p w:rsidR="00D914B0" w:rsidRPr="00FE1175" w:rsidP="00D914B0" w14:paraId="3DCBA980" w14:textId="77777777">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right w:val="single" w:sz="8" w:space="0" w:color="auto"/>
            </w:tcBorders>
            <w:shd w:val="clear" w:color="auto" w:fill="auto"/>
            <w:vAlign w:val="center"/>
          </w:tcPr>
          <w:p w:rsidR="00D914B0" w:rsidRPr="00FE1175" w:rsidP="00D914B0" w14:paraId="49326B77" w14:textId="77777777">
            <w:pPr>
              <w:widowControl w:val="0"/>
              <w:spacing w:line="256" w:lineRule="auto"/>
              <w:contextualSpacing/>
              <w:jc w:val="center"/>
              <w:outlineLvl w:val="0"/>
              <w:rPr>
                <w:rFonts w:eastAsia="Calibri" w:cs="Times New Roman"/>
              </w:rPr>
            </w:pPr>
            <w:r w:rsidRPr="00FE1175">
              <w:rPr>
                <w:rFonts w:eastAsia="Calibri" w:cs="Times New Roman"/>
              </w:rPr>
              <w:t>Target to be set 2022/23</w:t>
            </w:r>
          </w:p>
        </w:tc>
        <w:tc>
          <w:tcPr>
            <w:tcW w:w="1559" w:type="dxa"/>
            <w:tcBorders>
              <w:right w:val="single" w:sz="8" w:space="0" w:color="auto"/>
            </w:tcBorders>
            <w:shd w:val="clear" w:color="auto" w:fill="auto"/>
            <w:vAlign w:val="center"/>
          </w:tcPr>
          <w:p w:rsidR="00D914B0" w:rsidRPr="00D90AB4" w:rsidP="00D914B0" w14:paraId="6CF58DEE" w14:textId="600CD57D">
            <w:pPr>
              <w:widowControl w:val="0"/>
              <w:spacing w:line="256" w:lineRule="auto"/>
              <w:contextualSpacing/>
              <w:jc w:val="center"/>
              <w:outlineLvl w:val="0"/>
              <w:rPr>
                <w:rFonts w:eastAsia="Calibri" w:cs="Times New Roman"/>
              </w:rPr>
            </w:pPr>
            <w:r w:rsidRPr="00D90AB4">
              <w:rPr>
                <w:rFonts w:eastAsia="Calibri" w:cs="Times New Roman"/>
              </w:rPr>
              <w:t>£63,430.94</w:t>
            </w:r>
          </w:p>
          <w:p w:rsidR="00D90AB4" w:rsidRPr="00FE1175" w:rsidP="00D914B0" w14:paraId="2E519783" w14:textId="2352D055">
            <w:pPr>
              <w:widowControl w:val="0"/>
              <w:spacing w:line="256" w:lineRule="auto"/>
              <w:contextualSpacing/>
              <w:jc w:val="center"/>
              <w:outlineLvl w:val="0"/>
              <w:rPr>
                <w:rFonts w:eastAsia="Calibri" w:cs="Times New Roman"/>
              </w:rPr>
            </w:pPr>
            <w:r w:rsidRPr="00FE1175">
              <w:rPr>
                <w:rFonts w:eastAsia="Calibri" w:cs="Times New Roman"/>
              </w:rPr>
              <w:t>(</w:t>
            </w:r>
            <w:r>
              <w:rPr>
                <w:rFonts w:eastAsia="Calibri" w:cs="Times New Roman"/>
              </w:rPr>
              <w:t>Q1</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13" w:type="dxa"/>
            <w:tcBorders>
              <w:right w:val="single" w:sz="8" w:space="0" w:color="auto"/>
            </w:tcBorders>
            <w:shd w:val="clear" w:color="auto" w:fill="auto"/>
            <w:vAlign w:val="center"/>
          </w:tcPr>
          <w:p w:rsidR="00D914B0" w:rsidRPr="00FE1175" w:rsidP="00D914B0" w14:paraId="0B2E49EB" w14:textId="6766FAE5">
            <w:pPr>
              <w:widowControl w:val="0"/>
              <w:spacing w:line="256" w:lineRule="auto"/>
              <w:contextualSpacing/>
              <w:jc w:val="center"/>
              <w:outlineLvl w:val="0"/>
              <w:rPr>
                <w:rFonts w:eastAsia="Calibri" w:cs="Times New Roman"/>
                <w:b/>
                <w:bCs/>
              </w:rPr>
            </w:pPr>
            <w:r w:rsidRPr="00FE1175">
              <w:rPr>
                <w:rFonts w:eastAsia="Calibri" w:cs="Times New Roman"/>
                <w:b/>
                <w:bCs/>
              </w:rPr>
              <w:t>£63,430.94</w:t>
            </w:r>
          </w:p>
        </w:tc>
        <w:tc>
          <w:tcPr>
            <w:tcW w:w="1134" w:type="dxa"/>
            <w:tcBorders>
              <w:right w:val="single" w:sz="8" w:space="0" w:color="auto"/>
            </w:tcBorders>
            <w:shd w:val="clear" w:color="auto" w:fill="auto"/>
            <w:vAlign w:val="center"/>
          </w:tcPr>
          <w:p w:rsidR="00D914B0" w:rsidRPr="00FE1175" w:rsidP="00D914B0" w14:paraId="09D6813C" w14:textId="77777777">
            <w:pPr>
              <w:widowControl w:val="0"/>
              <w:spacing w:line="256" w:lineRule="auto"/>
              <w:contextualSpacing/>
              <w:jc w:val="center"/>
              <w:outlineLvl w:val="0"/>
              <w:rPr>
                <w:rFonts w:eastAsia="Calibri" w:cs="Times New Roman"/>
              </w:rPr>
            </w:pPr>
            <w:r w:rsidRPr="00FE1175">
              <w:rPr>
                <w:rFonts w:eastAsia="Calibri" w:cs="Times New Roman"/>
              </w:rPr>
              <w:t>N/A</w:t>
            </w:r>
          </w:p>
        </w:tc>
        <w:tc>
          <w:tcPr>
            <w:tcW w:w="1182" w:type="dxa"/>
            <w:tcBorders>
              <w:right w:val="single" w:sz="8" w:space="0" w:color="auto"/>
            </w:tcBorders>
            <w:shd w:val="clear" w:color="auto" w:fill="auto"/>
            <w:vAlign w:val="center"/>
          </w:tcPr>
          <w:p w:rsidR="00D914B0" w:rsidRPr="00FE1175" w:rsidP="00D914B0" w14:paraId="05288B81" w14:textId="77777777">
            <w:pPr>
              <w:widowControl w:val="0"/>
              <w:spacing w:line="256" w:lineRule="auto"/>
              <w:contextualSpacing/>
              <w:jc w:val="center"/>
              <w:outlineLvl w:val="0"/>
              <w:rPr>
                <w:rFonts w:eastAsia="Calibri" w:cs="Times New Roman"/>
                <w:b/>
                <w:bCs/>
                <w:sz w:val="20"/>
                <w:szCs w:val="20"/>
              </w:rPr>
            </w:pPr>
            <w:r w:rsidRPr="00FE1175">
              <w:rPr>
                <w:rFonts w:eastAsia="Calibri" w:cs="Times New Roman"/>
                <w:b/>
                <w:bCs/>
                <w:sz w:val="20"/>
                <w:szCs w:val="20"/>
              </w:rPr>
              <w:t>New for 2022/23</w:t>
            </w:r>
          </w:p>
        </w:tc>
      </w:tr>
      <w:tr w14:paraId="15BC88F7" w14:textId="77777777" w:rsidTr="00DC66C7">
        <w:tblPrEx>
          <w:tblW w:w="11242" w:type="dxa"/>
          <w:tblLayout w:type="fixed"/>
          <w:tblLook w:val="04A0"/>
        </w:tblPrEx>
        <w:trPr>
          <w:trHeight w:val="810"/>
        </w:trPr>
        <w:tc>
          <w:tcPr>
            <w:tcW w:w="3544" w:type="dxa"/>
            <w:tcBorders>
              <w:right w:val="single" w:sz="8" w:space="0" w:color="auto"/>
            </w:tcBorders>
            <w:shd w:val="clear" w:color="auto" w:fill="auto"/>
            <w:vAlign w:val="center"/>
          </w:tcPr>
          <w:p w:rsidR="00A678E2" w:rsidRPr="00FE1175" w:rsidP="00A678E2" w14:paraId="3D3163C9" w14:textId="158F12C4">
            <w:pPr>
              <w:widowControl w:val="0"/>
              <w:spacing w:line="256" w:lineRule="auto"/>
              <w:contextualSpacing/>
              <w:outlineLvl w:val="0"/>
              <w:rPr>
                <w:rFonts w:eastAsia="Calibri"/>
              </w:rPr>
            </w:pPr>
            <w:r w:rsidRPr="00333B8F">
              <w:rPr>
                <w:rFonts w:eastAsia="Calibri" w:cs="Times New Roman"/>
              </w:rPr>
              <w:t>Overall employment rate greater than north west average</w:t>
            </w:r>
          </w:p>
        </w:tc>
        <w:tc>
          <w:tcPr>
            <w:tcW w:w="1134" w:type="dxa"/>
            <w:tcBorders>
              <w:right w:val="single" w:sz="8" w:space="0" w:color="auto"/>
            </w:tcBorders>
            <w:shd w:val="clear" w:color="auto" w:fill="auto"/>
            <w:vAlign w:val="center"/>
          </w:tcPr>
          <w:p w:rsidR="00A678E2" w:rsidRPr="00FE1175" w:rsidP="00A678E2" w14:paraId="2ACDF9AD" w14:textId="240D6F7A">
            <w:pPr>
              <w:widowControl w:val="0"/>
              <w:spacing w:line="256" w:lineRule="auto"/>
              <w:contextualSpacing/>
              <w:jc w:val="center"/>
              <w:outlineLvl w:val="0"/>
              <w:rPr>
                <w:rFonts w:eastAsia="Calibri" w:cs="Times New Roman"/>
              </w:rPr>
            </w:pPr>
            <w:r>
              <w:rPr>
                <w:rFonts w:eastAsia="Calibri" w:cs="Times New Roman"/>
              </w:rPr>
              <w:t xml:space="preserve">Bigger is </w:t>
            </w:r>
            <w:r>
              <w:rPr>
                <w:rFonts w:eastAsia="Calibri" w:cs="Times New Roman"/>
              </w:rPr>
              <w:t>better</w:t>
            </w:r>
          </w:p>
        </w:tc>
        <w:tc>
          <w:tcPr>
            <w:tcW w:w="1276" w:type="dxa"/>
            <w:tcBorders>
              <w:right w:val="single" w:sz="8" w:space="0" w:color="auto"/>
            </w:tcBorders>
            <w:shd w:val="clear" w:color="auto" w:fill="auto"/>
            <w:vAlign w:val="center"/>
          </w:tcPr>
          <w:p w:rsidR="00A678E2" w:rsidRPr="00FE1175" w:rsidP="00A678E2" w14:paraId="3AF02BA7" w14:textId="6DE12823">
            <w:pPr>
              <w:widowControl w:val="0"/>
              <w:spacing w:line="256" w:lineRule="auto"/>
              <w:contextualSpacing/>
              <w:jc w:val="center"/>
              <w:outlineLvl w:val="0"/>
              <w:rPr>
                <w:rFonts w:eastAsia="Calibri" w:cs="Times New Roman"/>
              </w:rPr>
            </w:pPr>
            <w:r>
              <w:rPr>
                <w:rFonts w:eastAsia="Calibri" w:cs="Times New Roman"/>
              </w:rPr>
              <w:t>73.3%</w:t>
            </w:r>
          </w:p>
        </w:tc>
        <w:tc>
          <w:tcPr>
            <w:tcW w:w="1559" w:type="dxa"/>
            <w:tcBorders>
              <w:right w:val="single" w:sz="8" w:space="0" w:color="auto"/>
            </w:tcBorders>
            <w:shd w:val="clear" w:color="auto" w:fill="auto"/>
            <w:vAlign w:val="center"/>
          </w:tcPr>
          <w:p w:rsidR="00A678E2" w:rsidP="00A678E2" w14:paraId="6D3BC30C" w14:textId="78D100BE">
            <w:pPr>
              <w:widowControl w:val="0"/>
              <w:spacing w:line="256" w:lineRule="auto"/>
              <w:contextualSpacing/>
              <w:jc w:val="center"/>
              <w:outlineLvl w:val="0"/>
              <w:rPr>
                <w:rFonts w:eastAsia="Calibri" w:cs="Times New Roman"/>
              </w:rPr>
            </w:pPr>
            <w:r>
              <w:rPr>
                <w:rFonts w:eastAsia="Calibri" w:cs="Times New Roman"/>
              </w:rPr>
              <w:t>84.1%</w:t>
            </w:r>
          </w:p>
          <w:p w:rsidR="00A678E2" w:rsidRPr="00D90AB4" w:rsidP="00A678E2" w14:paraId="2AC77C49" w14:textId="7562E017">
            <w:pPr>
              <w:widowControl w:val="0"/>
              <w:spacing w:line="256" w:lineRule="auto"/>
              <w:contextualSpacing/>
              <w:jc w:val="center"/>
              <w:outlineLvl w:val="0"/>
              <w:rPr>
                <w:rFonts w:eastAsia="Calibri" w:cs="Times New Roman"/>
              </w:rPr>
            </w:pPr>
            <w:r w:rsidRPr="00FE1175">
              <w:rPr>
                <w:rFonts w:eastAsia="Calibri" w:cs="Times New Roman"/>
              </w:rPr>
              <w:t>(</w:t>
            </w:r>
            <w:r>
              <w:rPr>
                <w:rFonts w:eastAsia="Calibri" w:cs="Times New Roman"/>
              </w:rPr>
              <w:t>Q1</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13" w:type="dxa"/>
            <w:tcBorders>
              <w:right w:val="single" w:sz="8" w:space="0" w:color="auto"/>
            </w:tcBorders>
            <w:shd w:val="clear" w:color="auto" w:fill="auto"/>
            <w:vAlign w:val="center"/>
          </w:tcPr>
          <w:p w:rsidR="00A678E2" w:rsidRPr="00FE1175" w:rsidP="00A678E2" w14:paraId="41F7D576" w14:textId="66771169">
            <w:pPr>
              <w:widowControl w:val="0"/>
              <w:spacing w:line="256" w:lineRule="auto"/>
              <w:contextualSpacing/>
              <w:jc w:val="center"/>
              <w:outlineLvl w:val="0"/>
              <w:rPr>
                <w:rFonts w:eastAsia="Calibri" w:cs="Times New Roman"/>
                <w:b/>
                <w:bCs/>
              </w:rPr>
            </w:pPr>
            <w:r>
              <w:rPr>
                <w:rFonts w:eastAsia="Calibri" w:cs="Times New Roman"/>
                <w:b/>
                <w:bCs/>
              </w:rPr>
              <w:t>84.4%</w:t>
            </w:r>
          </w:p>
        </w:tc>
        <w:tc>
          <w:tcPr>
            <w:tcW w:w="1134" w:type="dxa"/>
            <w:tcBorders>
              <w:right w:val="single" w:sz="8" w:space="0" w:color="auto"/>
            </w:tcBorders>
            <w:shd w:val="clear" w:color="auto" w:fill="auto"/>
            <w:vAlign w:val="center"/>
          </w:tcPr>
          <w:p w:rsidR="00A678E2" w:rsidRPr="00FE1175" w:rsidP="00A678E2" w14:paraId="5BC4DAA5" w14:textId="3F87CF04">
            <w:pPr>
              <w:widowControl w:val="0"/>
              <w:spacing w:line="256" w:lineRule="auto"/>
              <w:contextualSpacing/>
              <w:jc w:val="center"/>
              <w:outlineLvl w:val="0"/>
              <w:rPr>
                <w:rFonts w:eastAsia="Calibri" w:cs="Times New Roman"/>
              </w:rPr>
            </w:pPr>
            <w:r w:rsidRPr="00E52C0D">
              <w:rPr>
                <w:rFonts w:ascii="Wingdings" w:eastAsia="Arial" w:hAnsi="Wingdings" w:cs="Times New Roman"/>
                <w:color w:val="00B050"/>
                <w:sz w:val="44"/>
              </w:rPr>
              <w:sym w:font="Wingdings" w:char="F0AB"/>
            </w:r>
          </w:p>
        </w:tc>
        <w:tc>
          <w:tcPr>
            <w:tcW w:w="1182" w:type="dxa"/>
            <w:tcBorders>
              <w:right w:val="single" w:sz="8" w:space="0" w:color="auto"/>
            </w:tcBorders>
            <w:shd w:val="clear" w:color="auto" w:fill="auto"/>
            <w:vAlign w:val="center"/>
          </w:tcPr>
          <w:p w:rsidR="00A678E2" w:rsidRPr="00FE1175" w:rsidP="00A678E2" w14:paraId="2A04D06C" w14:textId="37B36AFF">
            <w:pPr>
              <w:widowControl w:val="0"/>
              <w:spacing w:line="256" w:lineRule="auto"/>
              <w:contextualSpacing/>
              <w:jc w:val="center"/>
              <w:outlineLvl w:val="0"/>
              <w:rPr>
                <w:rFonts w:eastAsia="Calibri" w:cs="Times New Roman"/>
                <w:b/>
                <w:bCs/>
                <w:sz w:val="20"/>
                <w:szCs w:val="20"/>
              </w:rPr>
            </w:pPr>
            <w:r w:rsidRPr="004A4A67">
              <w:rPr>
                <w:rFonts w:eastAsia="Calibri" w:cs="Times New Roman"/>
                <w:b/>
                <w:bCs/>
                <w:color w:val="00B050"/>
                <w:sz w:val="20"/>
                <w:szCs w:val="20"/>
              </w:rPr>
              <w:t>Better than Q2 2021/22</w:t>
            </w:r>
          </w:p>
        </w:tc>
      </w:tr>
      <w:tr w14:paraId="7BFBC318" w14:textId="77777777" w:rsidTr="00A61B12">
        <w:tblPrEx>
          <w:tblW w:w="11242" w:type="dxa"/>
          <w:tblLayout w:type="fixed"/>
          <w:tblLook w:val="04A0"/>
        </w:tblPrEx>
        <w:trPr>
          <w:trHeight w:val="397"/>
        </w:trPr>
        <w:tc>
          <w:tcPr>
            <w:tcW w:w="11242" w:type="dxa"/>
            <w:gridSpan w:val="7"/>
            <w:tcBorders>
              <w:right w:val="single" w:sz="8" w:space="0" w:color="auto"/>
            </w:tcBorders>
            <w:shd w:val="clear" w:color="auto" w:fill="auto"/>
            <w:vAlign w:val="center"/>
          </w:tcPr>
          <w:p w:rsidR="00A678E2" w:rsidRPr="00FE1175" w:rsidP="00A678E2" w14:paraId="1CA834BC" w14:textId="77777777">
            <w:pPr>
              <w:widowControl w:val="0"/>
              <w:spacing w:line="256" w:lineRule="auto"/>
              <w:contextualSpacing/>
              <w:outlineLvl w:val="0"/>
              <w:rPr>
                <w:rFonts w:eastAsia="Calibri" w:cs="Times New Roman"/>
                <w:b/>
                <w:bCs/>
                <w:color w:val="00B050"/>
              </w:rPr>
            </w:pPr>
            <w:r w:rsidRPr="00FE1175">
              <w:rPr>
                <w:rFonts w:eastAsia="Calibri" w:cs="Times New Roman"/>
                <w:b/>
                <w:bCs/>
                <w:color w:val="00B050"/>
                <w:sz w:val="24"/>
              </w:rPr>
              <w:t>Good homes green spaces healthy places</w:t>
            </w:r>
          </w:p>
        </w:tc>
      </w:tr>
      <w:tr w14:paraId="1742D05F" w14:textId="77777777" w:rsidTr="00DC66C7">
        <w:tblPrEx>
          <w:tblW w:w="11242" w:type="dxa"/>
          <w:tblLayout w:type="fixed"/>
          <w:tblLook w:val="04A0"/>
        </w:tblPrEx>
        <w:trPr>
          <w:trHeight w:val="1079"/>
        </w:trPr>
        <w:tc>
          <w:tcPr>
            <w:tcW w:w="3544" w:type="dxa"/>
            <w:shd w:val="clear" w:color="auto" w:fill="auto"/>
            <w:vAlign w:val="center"/>
          </w:tcPr>
          <w:p w:rsidR="00A678E2" w:rsidRPr="00FE1175" w:rsidP="00A678E2" w14:paraId="047875C5" w14:textId="77777777">
            <w:pPr>
              <w:widowControl w:val="0"/>
              <w:spacing w:line="256" w:lineRule="auto"/>
              <w:contextualSpacing/>
              <w:outlineLvl w:val="0"/>
              <w:rPr>
                <w:rFonts w:eastAsia="Calibri" w:cs="Times New Roman"/>
              </w:rPr>
            </w:pPr>
            <w:r w:rsidRPr="00FE1175">
              <w:rPr>
                <w:rFonts w:eastAsia="Calibri" w:cs="Times New Roman"/>
              </w:rPr>
              <w:t>The number of wellbeing sessions delivered by the Active Health Team</w:t>
            </w:r>
          </w:p>
        </w:tc>
        <w:tc>
          <w:tcPr>
            <w:tcW w:w="1134"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1C4AB865" w14:textId="77777777">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rsidR="00A678E2" w:rsidRPr="00FE1175" w:rsidP="00A678E2" w14:paraId="7990CC83" w14:textId="77777777">
            <w:pPr>
              <w:widowControl w:val="0"/>
              <w:spacing w:line="256" w:lineRule="auto"/>
              <w:contextualSpacing/>
              <w:jc w:val="center"/>
              <w:outlineLvl w:val="0"/>
              <w:rPr>
                <w:rFonts w:eastAsia="Calibri" w:cs="Times New Roman"/>
              </w:rPr>
            </w:pPr>
            <w:r w:rsidRPr="00FE1175">
              <w:rPr>
                <w:rFonts w:eastAsia="Calibri" w:cs="Times New Roman"/>
              </w:rPr>
              <w:t>Target to be set 2022/23</w:t>
            </w:r>
          </w:p>
        </w:tc>
        <w:tc>
          <w:tcPr>
            <w:tcW w:w="1559" w:type="dxa"/>
            <w:shd w:val="clear" w:color="auto" w:fill="auto"/>
            <w:vAlign w:val="center"/>
          </w:tcPr>
          <w:p w:rsidR="00A678E2" w:rsidP="00A678E2" w14:paraId="69FEAB3E" w14:textId="6136507C">
            <w:pPr>
              <w:widowControl w:val="0"/>
              <w:spacing w:line="256" w:lineRule="auto"/>
              <w:contextualSpacing/>
              <w:jc w:val="center"/>
              <w:outlineLvl w:val="0"/>
              <w:rPr>
                <w:rFonts w:eastAsia="Calibri" w:cs="Times New Roman"/>
              </w:rPr>
            </w:pPr>
            <w:r>
              <w:rPr>
                <w:rFonts w:eastAsia="Calibri" w:cs="Times New Roman"/>
              </w:rPr>
              <w:t>705</w:t>
            </w:r>
          </w:p>
          <w:p w:rsidR="00A678E2" w:rsidRPr="00FE1175" w:rsidP="00A678E2" w14:paraId="577D916E" w14:textId="43AA093E">
            <w:pPr>
              <w:widowControl w:val="0"/>
              <w:spacing w:line="256" w:lineRule="auto"/>
              <w:contextualSpacing/>
              <w:jc w:val="center"/>
              <w:outlineLvl w:val="0"/>
              <w:rPr>
                <w:rFonts w:eastAsia="Calibri" w:cs="Times New Roman"/>
              </w:rPr>
            </w:pPr>
            <w:r w:rsidRPr="00FE1175">
              <w:rPr>
                <w:rFonts w:eastAsia="Calibri" w:cs="Times New Roman"/>
              </w:rPr>
              <w:t>(</w:t>
            </w:r>
            <w:r>
              <w:rPr>
                <w:rFonts w:eastAsia="Calibri" w:cs="Times New Roman"/>
              </w:rPr>
              <w:t>Q1</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13" w:type="dxa"/>
            <w:shd w:val="clear" w:color="auto" w:fill="auto"/>
            <w:vAlign w:val="center"/>
          </w:tcPr>
          <w:p w:rsidR="00A678E2" w:rsidRPr="00FE1175" w:rsidP="00A678E2" w14:paraId="0740FC6F" w14:textId="7C2BA44E">
            <w:pPr>
              <w:widowControl w:val="0"/>
              <w:spacing w:line="256" w:lineRule="auto"/>
              <w:contextualSpacing/>
              <w:jc w:val="center"/>
              <w:outlineLvl w:val="0"/>
              <w:rPr>
                <w:rFonts w:eastAsia="Calibri" w:cs="Times New Roman"/>
                <w:b/>
                <w:bCs/>
              </w:rPr>
            </w:pPr>
            <w:r>
              <w:rPr>
                <w:rFonts w:eastAsia="Calibri" w:cs="Times New Roman"/>
                <w:b/>
                <w:bCs/>
              </w:rPr>
              <w:t>1,168</w:t>
            </w:r>
          </w:p>
        </w:tc>
        <w:tc>
          <w:tcPr>
            <w:tcW w:w="1134"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6320EF23" w14:textId="77777777">
            <w:pPr>
              <w:widowControl w:val="0"/>
              <w:spacing w:line="256" w:lineRule="auto"/>
              <w:contextualSpacing/>
              <w:jc w:val="center"/>
              <w:outlineLvl w:val="0"/>
              <w:rPr>
                <w:rFonts w:eastAsia="Calibri" w:cs="Times New Roman"/>
              </w:rPr>
            </w:pPr>
            <w:r w:rsidRPr="00FE1175">
              <w:rPr>
                <w:rFonts w:eastAsia="Calibri" w:cs="Times New Roman"/>
              </w:rPr>
              <w:t>N/A</w:t>
            </w:r>
          </w:p>
        </w:tc>
        <w:tc>
          <w:tcPr>
            <w:tcW w:w="1182"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0182F021" w14:textId="77777777">
            <w:pPr>
              <w:widowControl w:val="0"/>
              <w:spacing w:line="256" w:lineRule="auto"/>
              <w:contextualSpacing/>
              <w:jc w:val="center"/>
              <w:outlineLvl w:val="0"/>
              <w:rPr>
                <w:rFonts w:eastAsia="Calibri" w:cs="Times New Roman"/>
                <w:sz w:val="20"/>
                <w:szCs w:val="20"/>
              </w:rPr>
            </w:pPr>
            <w:r w:rsidRPr="00FE1175">
              <w:rPr>
                <w:rFonts w:eastAsia="Calibri" w:cs="Times New Roman"/>
                <w:b/>
                <w:bCs/>
                <w:sz w:val="20"/>
                <w:szCs w:val="20"/>
              </w:rPr>
              <w:t xml:space="preserve">New for </w:t>
            </w:r>
            <w:r w:rsidRPr="00FE1175">
              <w:rPr>
                <w:rFonts w:eastAsia="Calibri" w:cs="Times New Roman"/>
                <w:b/>
                <w:bCs/>
                <w:sz w:val="20"/>
                <w:szCs w:val="20"/>
              </w:rPr>
              <w:t>2022/23</w:t>
            </w:r>
          </w:p>
        </w:tc>
      </w:tr>
      <w:tr w14:paraId="6291F179" w14:textId="77777777" w:rsidTr="00DC66C7">
        <w:tblPrEx>
          <w:tblW w:w="11242" w:type="dxa"/>
          <w:tblLayout w:type="fixed"/>
          <w:tblLook w:val="04A0"/>
        </w:tblPrEx>
        <w:trPr>
          <w:trHeight w:val="1079"/>
        </w:trPr>
        <w:tc>
          <w:tcPr>
            <w:tcW w:w="3544" w:type="dxa"/>
            <w:shd w:val="clear" w:color="auto" w:fill="auto"/>
            <w:vAlign w:val="center"/>
          </w:tcPr>
          <w:p w:rsidR="00A678E2" w:rsidRPr="00FE1175" w:rsidP="00A678E2" w14:paraId="794090B2" w14:textId="77777777">
            <w:pPr>
              <w:widowControl w:val="0"/>
              <w:spacing w:line="256" w:lineRule="auto"/>
              <w:contextualSpacing/>
              <w:outlineLvl w:val="0"/>
              <w:rPr>
                <w:rFonts w:eastAsia="Calibri" w:cs="Times New Roman"/>
              </w:rPr>
            </w:pPr>
            <w:r w:rsidRPr="00FE1175">
              <w:t>The number of people who are prevented from becoming homeless or have had their homelessness relieved</w:t>
            </w:r>
          </w:p>
        </w:tc>
        <w:tc>
          <w:tcPr>
            <w:tcW w:w="1134"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3CFBED3F" w14:textId="77777777">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rsidR="00A678E2" w:rsidRPr="00FE1175" w:rsidP="00A678E2" w14:paraId="27C94D66" w14:textId="77777777">
            <w:pPr>
              <w:widowControl w:val="0"/>
              <w:spacing w:line="256" w:lineRule="auto"/>
              <w:contextualSpacing/>
              <w:jc w:val="center"/>
              <w:outlineLvl w:val="0"/>
              <w:rPr>
                <w:rFonts w:eastAsia="Calibri" w:cs="Times New Roman"/>
              </w:rPr>
            </w:pPr>
            <w:r w:rsidRPr="00FE1175">
              <w:rPr>
                <w:rFonts w:eastAsia="Calibri" w:cs="Times New Roman"/>
              </w:rPr>
              <w:t xml:space="preserve"> Monitor Trend</w:t>
            </w:r>
          </w:p>
        </w:tc>
        <w:tc>
          <w:tcPr>
            <w:tcW w:w="1559" w:type="dxa"/>
            <w:shd w:val="clear" w:color="auto" w:fill="auto"/>
            <w:vAlign w:val="center"/>
          </w:tcPr>
          <w:p w:rsidR="00A678E2" w:rsidRPr="00FE1175" w:rsidP="00A678E2" w14:paraId="70AB0EC7" w14:textId="7A02936A">
            <w:pPr>
              <w:widowControl w:val="0"/>
              <w:spacing w:line="256" w:lineRule="auto"/>
              <w:contextualSpacing/>
              <w:jc w:val="center"/>
              <w:outlineLvl w:val="0"/>
              <w:rPr>
                <w:rFonts w:eastAsia="Calibri" w:cs="Times New Roman"/>
              </w:rPr>
            </w:pPr>
            <w:r>
              <w:rPr>
                <w:rFonts w:eastAsia="Calibri" w:cs="Times New Roman"/>
              </w:rPr>
              <w:t>38</w:t>
            </w:r>
          </w:p>
          <w:p w:rsidR="00A678E2" w:rsidRPr="00FE1175" w:rsidP="00A678E2" w14:paraId="6D62E87E" w14:textId="1B536A15">
            <w:pPr>
              <w:widowControl w:val="0"/>
              <w:spacing w:line="256" w:lineRule="auto"/>
              <w:contextualSpacing/>
              <w:jc w:val="center"/>
              <w:outlineLvl w:val="0"/>
              <w:rPr>
                <w:rFonts w:eastAsia="Calibri" w:cs="Times New Roman"/>
              </w:rPr>
            </w:pPr>
            <w:r w:rsidRPr="00FE1175">
              <w:rPr>
                <w:rFonts w:eastAsia="Calibri" w:cs="Times New Roman"/>
              </w:rPr>
              <w:t>(</w:t>
            </w:r>
            <w:r>
              <w:rPr>
                <w:rFonts w:eastAsia="Calibri" w:cs="Times New Roman"/>
              </w:rPr>
              <w:t>Q1</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13" w:type="dxa"/>
            <w:shd w:val="clear" w:color="auto" w:fill="auto"/>
            <w:vAlign w:val="center"/>
          </w:tcPr>
          <w:p w:rsidR="00A678E2" w:rsidRPr="00FE1175" w:rsidP="00A678E2" w14:paraId="067E21E3" w14:textId="251A5495">
            <w:pPr>
              <w:widowControl w:val="0"/>
              <w:spacing w:line="256" w:lineRule="auto"/>
              <w:contextualSpacing/>
              <w:jc w:val="center"/>
              <w:outlineLvl w:val="0"/>
              <w:rPr>
                <w:rFonts w:eastAsia="Calibri" w:cs="Times New Roman"/>
                <w:b/>
                <w:bCs/>
              </w:rPr>
            </w:pPr>
            <w:r>
              <w:rPr>
                <w:rFonts w:eastAsia="Calibri" w:cs="Times New Roman"/>
                <w:b/>
                <w:bCs/>
              </w:rPr>
              <w:t>95</w:t>
            </w:r>
          </w:p>
        </w:tc>
        <w:tc>
          <w:tcPr>
            <w:tcW w:w="1134"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2FE6BB89" w14:textId="77777777">
            <w:pPr>
              <w:widowControl w:val="0"/>
              <w:spacing w:line="256" w:lineRule="auto"/>
              <w:contextualSpacing/>
              <w:jc w:val="center"/>
              <w:outlineLvl w:val="0"/>
              <w:rPr>
                <w:rFonts w:eastAsia="Calibri" w:cs="Times New Roman"/>
              </w:rPr>
            </w:pPr>
            <w:r w:rsidRPr="00FE1175">
              <w:rPr>
                <w:rFonts w:eastAsia="Calibri" w:cs="Times New Roman"/>
              </w:rPr>
              <w:t>N/A</w:t>
            </w:r>
          </w:p>
        </w:tc>
        <w:tc>
          <w:tcPr>
            <w:tcW w:w="1182"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41B547D8" w14:textId="67EE49C3">
            <w:pPr>
              <w:widowControl w:val="0"/>
              <w:spacing w:line="256" w:lineRule="auto"/>
              <w:contextualSpacing/>
              <w:jc w:val="center"/>
              <w:outlineLvl w:val="0"/>
              <w:rPr>
                <w:rFonts w:eastAsia="Calibri" w:cs="Times New Roman"/>
                <w:b/>
                <w:bCs/>
                <w:color w:val="808080" w:themeColor="background1" w:themeShade="80"/>
                <w:sz w:val="20"/>
                <w:szCs w:val="20"/>
              </w:rPr>
            </w:pPr>
            <w:r w:rsidRPr="008576E2">
              <w:rPr>
                <w:rFonts w:eastAsia="Calibri" w:cstheme="minorHAnsi"/>
                <w:b/>
                <w:bCs/>
                <w:color w:val="FF0000"/>
                <w:sz w:val="20"/>
                <w:szCs w:val="20"/>
              </w:rPr>
              <w:t>Worse than Q2 2021/22</w:t>
            </w:r>
          </w:p>
        </w:tc>
      </w:tr>
      <w:tr w14:paraId="2FCE9D10" w14:textId="77777777" w:rsidTr="00DC66C7">
        <w:tblPrEx>
          <w:tblW w:w="11242" w:type="dxa"/>
          <w:tblLayout w:type="fixed"/>
          <w:tblLook w:val="04A0"/>
        </w:tblPrEx>
        <w:trPr>
          <w:trHeight w:val="1079"/>
        </w:trPr>
        <w:tc>
          <w:tcPr>
            <w:tcW w:w="3544" w:type="dxa"/>
            <w:shd w:val="clear" w:color="auto" w:fill="auto"/>
            <w:vAlign w:val="center"/>
          </w:tcPr>
          <w:p w:rsidR="00A678E2" w:rsidRPr="00FE1175" w:rsidP="00A678E2" w14:paraId="57AA49A7" w14:textId="02FA5345">
            <w:pPr>
              <w:widowControl w:val="0"/>
              <w:spacing w:line="256" w:lineRule="auto"/>
              <w:contextualSpacing/>
              <w:outlineLvl w:val="0"/>
            </w:pPr>
            <w:r w:rsidRPr="000C6BB8">
              <w:t>Number of affordable homes delivered</w:t>
            </w:r>
            <w: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3AD86AE7" w14:textId="071F14B5">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shd w:val="clear" w:color="auto" w:fill="auto"/>
            <w:vAlign w:val="center"/>
          </w:tcPr>
          <w:p w:rsidR="00A678E2" w:rsidRPr="00FE1175" w:rsidP="00A678E2" w14:paraId="1B89F497" w14:textId="7FCC0DC8">
            <w:pPr>
              <w:widowControl w:val="0"/>
              <w:spacing w:line="256" w:lineRule="auto"/>
              <w:contextualSpacing/>
              <w:jc w:val="center"/>
              <w:outlineLvl w:val="0"/>
              <w:rPr>
                <w:rFonts w:eastAsia="Calibri" w:cs="Times New Roman"/>
              </w:rPr>
            </w:pPr>
            <w:r>
              <w:rPr>
                <w:rFonts w:eastAsia="Calibri" w:cs="Times New Roman"/>
              </w:rPr>
              <w:t>40</w:t>
            </w:r>
          </w:p>
        </w:tc>
        <w:tc>
          <w:tcPr>
            <w:tcW w:w="1559" w:type="dxa"/>
            <w:shd w:val="clear" w:color="auto" w:fill="auto"/>
            <w:vAlign w:val="center"/>
          </w:tcPr>
          <w:p w:rsidR="00A678E2" w:rsidP="00A678E2" w14:paraId="587FB34B" w14:textId="433D8B69">
            <w:pPr>
              <w:widowControl w:val="0"/>
              <w:spacing w:line="256" w:lineRule="auto"/>
              <w:contextualSpacing/>
              <w:jc w:val="center"/>
              <w:outlineLvl w:val="0"/>
              <w:rPr>
                <w:rFonts w:eastAsia="Calibri" w:cs="Times New Roman"/>
              </w:rPr>
            </w:pPr>
            <w:r>
              <w:rPr>
                <w:rFonts w:eastAsia="Calibri" w:cs="Times New Roman"/>
              </w:rPr>
              <w:t>86</w:t>
            </w:r>
          </w:p>
          <w:p w:rsidR="00A678E2" w:rsidRPr="00FE1175" w:rsidP="00A678E2" w14:paraId="16790213" w14:textId="4E6A20F8">
            <w:pPr>
              <w:widowControl w:val="0"/>
              <w:spacing w:line="256" w:lineRule="auto"/>
              <w:contextualSpacing/>
              <w:jc w:val="center"/>
              <w:outlineLvl w:val="0"/>
              <w:rPr>
                <w:rFonts w:eastAsia="Calibri" w:cs="Times New Roman"/>
              </w:rPr>
            </w:pPr>
            <w:r w:rsidRPr="00FE1175">
              <w:rPr>
                <w:rFonts w:eastAsia="Calibri" w:cs="Times New Roman"/>
              </w:rPr>
              <w:t>(</w:t>
            </w:r>
            <w:r>
              <w:rPr>
                <w:rFonts w:eastAsia="Calibri" w:cs="Times New Roman"/>
              </w:rPr>
              <w:t>Q4</w:t>
            </w:r>
            <w:r w:rsidRPr="00FE1175">
              <w:rPr>
                <w:rFonts w:eastAsia="Calibri" w:cs="Times New Roman"/>
              </w:rPr>
              <w:t>:202</w:t>
            </w:r>
            <w:r>
              <w:rPr>
                <w:rFonts w:eastAsia="Calibri" w:cs="Times New Roman"/>
              </w:rPr>
              <w:t>1</w:t>
            </w:r>
            <w:r w:rsidRPr="00FE1175">
              <w:rPr>
                <w:rFonts w:eastAsia="Calibri" w:cs="Times New Roman"/>
              </w:rPr>
              <w:t>/2</w:t>
            </w:r>
            <w:r>
              <w:rPr>
                <w:rFonts w:eastAsia="Calibri" w:cs="Times New Roman"/>
              </w:rPr>
              <w:t>2</w:t>
            </w:r>
            <w:r w:rsidRPr="00FE1175">
              <w:rPr>
                <w:rFonts w:eastAsia="Calibri" w:cs="Times New Roman"/>
              </w:rPr>
              <w:t>)</w:t>
            </w:r>
          </w:p>
        </w:tc>
        <w:tc>
          <w:tcPr>
            <w:tcW w:w="1413" w:type="dxa"/>
            <w:shd w:val="clear" w:color="auto" w:fill="auto"/>
            <w:vAlign w:val="center"/>
          </w:tcPr>
          <w:p w:rsidR="00D479C0" w:rsidRPr="00BB1DB6" w:rsidP="00BB1DB6" w14:paraId="3B5155BD" w14:textId="0A95464A">
            <w:pPr>
              <w:widowControl w:val="0"/>
              <w:spacing w:line="256" w:lineRule="auto"/>
              <w:contextualSpacing/>
              <w:jc w:val="center"/>
              <w:outlineLvl w:val="0"/>
              <w:rPr>
                <w:rFonts w:eastAsia="Calibri" w:cs="Times New Roman"/>
                <w:b/>
                <w:bCs/>
              </w:rPr>
            </w:pPr>
            <w:r w:rsidRPr="00BB1DB6">
              <w:rPr>
                <w:rFonts w:eastAsia="Calibri" w:cs="Times New Roman"/>
                <w:b/>
                <w:bCs/>
              </w:rPr>
              <w:t>55</w:t>
            </w:r>
          </w:p>
        </w:tc>
        <w:tc>
          <w:tcPr>
            <w:tcW w:w="1134"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3A530E66" w14:textId="791C92C6">
            <w:pPr>
              <w:widowControl w:val="0"/>
              <w:spacing w:line="256" w:lineRule="auto"/>
              <w:contextualSpacing/>
              <w:jc w:val="center"/>
              <w:outlineLvl w:val="0"/>
              <w:rPr>
                <w:rFonts w:eastAsia="Calibri" w:cs="Times New Roman"/>
              </w:rPr>
            </w:pPr>
            <w:r w:rsidRPr="00E52C0D">
              <w:rPr>
                <w:rFonts w:ascii="Wingdings" w:eastAsia="Arial" w:hAnsi="Wingdings" w:cs="Times New Roman"/>
                <w:color w:val="00B050"/>
                <w:sz w:val="44"/>
              </w:rPr>
              <w:sym w:font="Wingdings" w:char="F0AB"/>
            </w:r>
          </w:p>
        </w:tc>
        <w:tc>
          <w:tcPr>
            <w:tcW w:w="1182"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1F5C379F" w14:textId="3DBC578B">
            <w:pPr>
              <w:widowControl w:val="0"/>
              <w:spacing w:line="256" w:lineRule="auto"/>
              <w:contextualSpacing/>
              <w:jc w:val="center"/>
              <w:outlineLvl w:val="0"/>
              <w:rPr>
                <w:rFonts w:eastAsia="Calibri" w:cs="Times New Roman"/>
                <w:b/>
                <w:bCs/>
                <w:color w:val="808080" w:themeColor="background1" w:themeShade="80"/>
                <w:sz w:val="20"/>
                <w:szCs w:val="20"/>
              </w:rPr>
            </w:pPr>
            <w:r w:rsidRPr="004A4A67">
              <w:rPr>
                <w:rFonts w:eastAsia="Calibri" w:cs="Times New Roman"/>
                <w:b/>
                <w:bCs/>
                <w:color w:val="00B050"/>
                <w:sz w:val="20"/>
                <w:szCs w:val="20"/>
              </w:rPr>
              <w:t>Better than Q2 2021/22</w:t>
            </w:r>
          </w:p>
        </w:tc>
      </w:tr>
      <w:tr w14:paraId="61ADC11A" w14:textId="77777777" w:rsidTr="00D914B0">
        <w:tblPrEx>
          <w:tblW w:w="11242" w:type="dxa"/>
          <w:tblLayout w:type="fixed"/>
          <w:tblLook w:val="04A0"/>
        </w:tblPrEx>
        <w:trPr>
          <w:trHeight w:val="529"/>
        </w:trPr>
        <w:tc>
          <w:tcPr>
            <w:tcW w:w="3544" w:type="dxa"/>
            <w:shd w:val="clear" w:color="auto" w:fill="auto"/>
            <w:vAlign w:val="center"/>
          </w:tcPr>
          <w:p w:rsidR="00A678E2" w:rsidRPr="00FE1175" w:rsidP="00A678E2" w14:paraId="13E99E27" w14:textId="77777777">
            <w:pPr>
              <w:widowControl w:val="0"/>
              <w:spacing w:line="256" w:lineRule="auto"/>
              <w:contextualSpacing/>
              <w:outlineLvl w:val="0"/>
              <w:rPr>
                <w:rFonts w:eastAsia="Calibri" w:cs="Times New Roman"/>
              </w:rPr>
            </w:pPr>
            <w:r w:rsidRPr="00FE1175">
              <w:t>The number of individuals who complete a health check (screening) by a member of the Active Health Team</w:t>
            </w:r>
          </w:p>
        </w:tc>
        <w:tc>
          <w:tcPr>
            <w:tcW w:w="1134"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046506ED" w14:textId="77777777">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rsidR="00A678E2" w:rsidRPr="00FE1175" w:rsidP="00A678E2" w14:paraId="32C773E3" w14:textId="21605B9A">
            <w:pPr>
              <w:widowControl w:val="0"/>
              <w:spacing w:line="256" w:lineRule="auto"/>
              <w:contextualSpacing/>
              <w:jc w:val="center"/>
              <w:outlineLvl w:val="0"/>
              <w:rPr>
                <w:rFonts w:eastAsia="Calibri" w:cs="Times New Roman"/>
              </w:rPr>
            </w:pPr>
            <w:r>
              <w:rPr>
                <w:rFonts w:eastAsia="Calibri" w:cs="Times New Roman"/>
              </w:rPr>
              <w:t>55</w:t>
            </w:r>
          </w:p>
        </w:tc>
        <w:tc>
          <w:tcPr>
            <w:tcW w:w="1559" w:type="dxa"/>
            <w:shd w:val="clear" w:color="auto" w:fill="auto"/>
            <w:vAlign w:val="center"/>
          </w:tcPr>
          <w:p w:rsidR="00A678E2" w:rsidRPr="00FE1175" w:rsidP="00A678E2" w14:paraId="28B59160" w14:textId="49C3EBC5">
            <w:pPr>
              <w:widowControl w:val="0"/>
              <w:spacing w:line="256" w:lineRule="auto"/>
              <w:contextualSpacing/>
              <w:jc w:val="center"/>
              <w:outlineLvl w:val="0"/>
              <w:rPr>
                <w:rFonts w:eastAsia="Calibri" w:cs="Times New Roman"/>
              </w:rPr>
            </w:pPr>
            <w:r>
              <w:rPr>
                <w:rFonts w:eastAsia="Calibri" w:cs="Times New Roman"/>
              </w:rPr>
              <w:t>52</w:t>
            </w:r>
          </w:p>
          <w:p w:rsidR="00A678E2" w:rsidRPr="00FE1175" w:rsidP="00A678E2" w14:paraId="5896D568" w14:textId="093534C7">
            <w:pPr>
              <w:widowControl w:val="0"/>
              <w:spacing w:line="256" w:lineRule="auto"/>
              <w:contextualSpacing/>
              <w:jc w:val="center"/>
              <w:outlineLvl w:val="0"/>
              <w:rPr>
                <w:rFonts w:eastAsia="Calibri" w:cs="Times New Roman"/>
              </w:rPr>
            </w:pPr>
            <w:r w:rsidRPr="00FE1175">
              <w:rPr>
                <w:rFonts w:eastAsia="Calibri" w:cs="Times New Roman"/>
              </w:rPr>
              <w:t>(Q</w:t>
            </w:r>
            <w:r>
              <w:rPr>
                <w:rFonts w:eastAsia="Calibri" w:cs="Times New Roman"/>
              </w:rPr>
              <w:t>1</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13" w:type="dxa"/>
            <w:shd w:val="clear" w:color="auto" w:fill="auto"/>
            <w:vAlign w:val="center"/>
          </w:tcPr>
          <w:p w:rsidR="00A678E2" w:rsidRPr="00FE1175" w:rsidP="00A678E2" w14:paraId="2D85E633" w14:textId="49F1EA12">
            <w:pPr>
              <w:widowControl w:val="0"/>
              <w:spacing w:line="256" w:lineRule="auto"/>
              <w:contextualSpacing/>
              <w:jc w:val="center"/>
              <w:outlineLvl w:val="0"/>
              <w:rPr>
                <w:rFonts w:eastAsia="Calibri" w:cs="Times New Roman"/>
                <w:b/>
                <w:bCs/>
              </w:rPr>
            </w:pPr>
            <w:r>
              <w:rPr>
                <w:rFonts w:eastAsia="Calibri" w:cs="Times New Roman"/>
                <w:b/>
                <w:bCs/>
              </w:rPr>
              <w:t>79</w:t>
            </w:r>
          </w:p>
        </w:tc>
        <w:tc>
          <w:tcPr>
            <w:tcW w:w="1134"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04DD1031" w14:textId="038461CA">
            <w:pPr>
              <w:widowControl w:val="0"/>
              <w:spacing w:line="256" w:lineRule="auto"/>
              <w:contextualSpacing/>
              <w:jc w:val="center"/>
              <w:outlineLvl w:val="0"/>
              <w:rPr>
                <w:rFonts w:ascii="Wingdings" w:eastAsia="Arial" w:hAnsi="Wingdings" w:cs="Times New Roman"/>
                <w:color w:val="00B050"/>
                <w:sz w:val="44"/>
              </w:rPr>
            </w:pPr>
            <w:r w:rsidRPr="00E52C0D">
              <w:rPr>
                <w:rFonts w:ascii="Wingdings" w:eastAsia="Arial" w:hAnsi="Wingdings" w:cs="Times New Roman"/>
                <w:color w:val="00B050"/>
                <w:sz w:val="44"/>
              </w:rPr>
              <w:sym w:font="Wingdings" w:char="F0AB"/>
            </w:r>
          </w:p>
        </w:tc>
        <w:tc>
          <w:tcPr>
            <w:tcW w:w="1182" w:type="dxa"/>
            <w:tcBorders>
              <w:top w:val="single" w:sz="8" w:space="0" w:color="auto"/>
              <w:left w:val="single" w:sz="8" w:space="0" w:color="auto"/>
              <w:bottom w:val="single" w:sz="8" w:space="0" w:color="auto"/>
              <w:right w:val="single" w:sz="8" w:space="0" w:color="auto"/>
            </w:tcBorders>
            <w:vAlign w:val="center"/>
          </w:tcPr>
          <w:p w:rsidR="00A678E2" w:rsidRPr="00FE1175" w:rsidP="00A678E2" w14:paraId="2FC2DD3A" w14:textId="77777777">
            <w:pPr>
              <w:widowControl w:val="0"/>
              <w:spacing w:line="256" w:lineRule="auto"/>
              <w:contextualSpacing/>
              <w:jc w:val="center"/>
              <w:outlineLvl w:val="0"/>
              <w:rPr>
                <w:rFonts w:eastAsia="Calibri" w:cs="Times New Roman"/>
                <w:b/>
                <w:bCs/>
              </w:rPr>
            </w:pPr>
            <w:r w:rsidRPr="00FE1175">
              <w:rPr>
                <w:rFonts w:eastAsia="Calibri" w:cs="Times New Roman"/>
                <w:b/>
                <w:bCs/>
                <w:sz w:val="20"/>
                <w:szCs w:val="20"/>
              </w:rPr>
              <w:t>New for 2022/23</w:t>
            </w:r>
          </w:p>
        </w:tc>
      </w:tr>
      <w:bookmarkEnd w:id="14"/>
    </w:tbl>
    <w:p w:rsidR="00CB4E97" w:rsidP="00CB4E97" w14:paraId="61D5E3C7" w14:textId="77777777">
      <w:pPr>
        <w:pStyle w:val="Heading2"/>
        <w:spacing w:before="0" w:beforeAutospacing="0" w:after="0" w:afterAutospacing="0"/>
        <w:ind w:left="-993"/>
        <w:rPr>
          <w:rFonts w:asciiTheme="majorHAnsi" w:hAnsiTheme="majorHAnsi" w:cstheme="majorHAnsi"/>
          <w:sz w:val="22"/>
          <w:szCs w:val="22"/>
        </w:rPr>
      </w:pPr>
    </w:p>
    <w:p w:rsidR="00CB4E97" w:rsidP="00CB4E97" w14:paraId="6558C441" w14:textId="77777777">
      <w:pPr>
        <w:pStyle w:val="Heading2"/>
        <w:spacing w:before="0" w:beforeAutospacing="0"/>
        <w:ind w:left="-993"/>
        <w:rPr>
          <w:rFonts w:asciiTheme="majorHAnsi" w:hAnsiTheme="majorHAnsi" w:cstheme="majorHAnsi"/>
          <w:sz w:val="22"/>
          <w:szCs w:val="22"/>
        </w:rPr>
        <w:sectPr w:rsidSect="00CB4E97">
          <w:pgSz w:w="11906" w:h="16838"/>
          <w:pgMar w:top="710" w:right="282" w:bottom="567" w:left="1440" w:header="708" w:footer="708" w:gutter="0"/>
          <w:cols w:space="708"/>
          <w:docGrid w:linePitch="360"/>
        </w:sectPr>
      </w:pPr>
    </w:p>
    <w:p w:rsidR="00AD596E" w14:paraId="196DE54E" w14:textId="77777777">
      <w:pPr>
        <w:pStyle w:val="Heading2"/>
        <w:spacing w:before="0" w:beforeAutospacing="0"/>
        <w:ind w:left="-993"/>
        <w:rPr>
          <w:rFonts w:asciiTheme="majorHAnsi" w:hAnsiTheme="majorHAnsi" w:cstheme="majorHAnsi"/>
          <w:sz w:val="22"/>
          <w:szCs w:val="22"/>
        </w:rPr>
      </w:pPr>
      <w:r w:rsidRPr="00887342">
        <w:rPr>
          <w:rFonts w:asciiTheme="majorHAnsi" w:hAnsiTheme="majorHAnsi" w:cstheme="majorHAnsi"/>
          <w:sz w:val="22"/>
          <w:szCs w:val="22"/>
        </w:rPr>
        <w:t xml:space="preserve">Appendix </w:t>
      </w:r>
      <w:r w:rsidRPr="0006284E">
        <w:rPr>
          <w:rFonts w:asciiTheme="majorHAnsi" w:hAnsiTheme="majorHAnsi" w:cstheme="majorHAnsi"/>
          <w:sz w:val="22"/>
          <w:szCs w:val="22"/>
        </w:rPr>
        <w:t xml:space="preserve">2 – Key </w:t>
      </w:r>
      <w:r w:rsidRPr="0006284E">
        <w:rPr>
          <w:rFonts w:asciiTheme="majorHAnsi" w:hAnsiTheme="majorHAnsi" w:cstheme="majorHAnsi"/>
          <w:sz w:val="22"/>
          <w:szCs w:val="22"/>
        </w:rPr>
        <w:t>Organisational Performance Measures</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9"/>
        <w:gridCol w:w="1134"/>
        <w:gridCol w:w="1276"/>
        <w:gridCol w:w="1559"/>
        <w:gridCol w:w="1462"/>
        <w:gridCol w:w="1134"/>
        <w:gridCol w:w="1275"/>
      </w:tblGrid>
      <w:tr w14:paraId="45BA1C55" w14:textId="77777777" w:rsidTr="00FB1ABE">
        <w:tblPrEx>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1"/>
        </w:trPr>
        <w:tc>
          <w:tcPr>
            <w:tcW w:w="3359" w:type="dxa"/>
            <w:shd w:val="clear" w:color="auto" w:fill="808080" w:themeFill="background1" w:themeFillShade="80"/>
            <w:vAlign w:val="center"/>
          </w:tcPr>
          <w:p w:rsidR="00A61B12" w:rsidRPr="00FE1175" w:rsidP="00A61B12" w14:paraId="2802A632" w14:textId="77777777">
            <w:pPr>
              <w:widowControl w:val="0"/>
              <w:spacing w:after="0" w:line="240" w:lineRule="auto"/>
              <w:outlineLvl w:val="0"/>
              <w:rPr>
                <w:rFonts w:eastAsia="Calibri" w:cs="Times New Roman"/>
                <w:b/>
                <w:bCs/>
                <w:color w:val="FFFFFF" w:themeColor="background1"/>
              </w:rPr>
            </w:pPr>
            <w:bookmarkStart w:id="16" w:name="_Hlk65236075"/>
            <w:r w:rsidRPr="00FE1175">
              <w:rPr>
                <w:rFonts w:eastAsia="Calibri" w:cs="Times New Roman"/>
                <w:b/>
                <w:bCs/>
                <w:color w:val="FFFFFF" w:themeColor="background1"/>
              </w:rPr>
              <w:t>Indicator Name</w:t>
            </w:r>
          </w:p>
        </w:tc>
        <w:tc>
          <w:tcPr>
            <w:tcW w:w="1134" w:type="dxa"/>
            <w:shd w:val="clear" w:color="auto" w:fill="808080" w:themeFill="background1" w:themeFillShade="80"/>
            <w:vAlign w:val="center"/>
          </w:tcPr>
          <w:p w:rsidR="00A61B12" w:rsidRPr="00FE1175" w:rsidP="00A61B12" w14:paraId="08AEA33C" w14:textId="77777777">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Polarity</w:t>
            </w:r>
          </w:p>
        </w:tc>
        <w:tc>
          <w:tcPr>
            <w:tcW w:w="1276" w:type="dxa"/>
            <w:shd w:val="clear" w:color="auto" w:fill="808080" w:themeFill="background1" w:themeFillShade="80"/>
            <w:vAlign w:val="center"/>
          </w:tcPr>
          <w:p w:rsidR="00A61B12" w:rsidRPr="00FE1175" w:rsidP="00A61B12" w14:paraId="2EB8EAD2" w14:textId="77777777">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Target</w:t>
            </w:r>
          </w:p>
        </w:tc>
        <w:tc>
          <w:tcPr>
            <w:tcW w:w="1559" w:type="dxa"/>
            <w:shd w:val="clear" w:color="auto" w:fill="808080" w:themeFill="background1" w:themeFillShade="80"/>
            <w:vAlign w:val="center"/>
          </w:tcPr>
          <w:p w:rsidR="00A61B12" w:rsidRPr="00FE1175" w:rsidP="00A61B12" w14:paraId="071552B5" w14:textId="77777777">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Previous Quarter</w:t>
            </w:r>
          </w:p>
        </w:tc>
        <w:tc>
          <w:tcPr>
            <w:tcW w:w="1462" w:type="dxa"/>
            <w:shd w:val="clear" w:color="auto" w:fill="808080" w:themeFill="background1" w:themeFillShade="80"/>
            <w:vAlign w:val="center"/>
          </w:tcPr>
          <w:p w:rsidR="003A6C84" w:rsidRPr="00FE1175" w:rsidP="003A6C84" w14:paraId="5812AA1E" w14:textId="312B2005">
            <w:pPr>
              <w:spacing w:after="0" w:line="240" w:lineRule="auto"/>
              <w:jc w:val="center"/>
              <w:rPr>
                <w:b/>
                <w:bCs/>
                <w:color w:val="FFFFFF" w:themeColor="background1"/>
              </w:rPr>
            </w:pPr>
            <w:r w:rsidRPr="00FE1175">
              <w:rPr>
                <w:b/>
                <w:bCs/>
                <w:color w:val="FFFFFF" w:themeColor="background1"/>
              </w:rPr>
              <w:t xml:space="preserve">Quarter </w:t>
            </w:r>
            <w:r w:rsidR="00FE1175">
              <w:rPr>
                <w:b/>
                <w:bCs/>
                <w:color w:val="FFFFFF" w:themeColor="background1"/>
              </w:rPr>
              <w:t>2</w:t>
            </w:r>
          </w:p>
          <w:p w:rsidR="00A61B12" w:rsidRPr="00FE1175" w:rsidP="003A6C84" w14:paraId="5F151BDC" w14:textId="77777777">
            <w:pPr>
              <w:widowControl w:val="0"/>
              <w:spacing w:after="0" w:line="240" w:lineRule="auto"/>
              <w:jc w:val="center"/>
              <w:outlineLvl w:val="0"/>
              <w:rPr>
                <w:rFonts w:eastAsia="Calibri" w:cs="Times New Roman"/>
                <w:b/>
                <w:bCs/>
                <w:color w:val="FFFFFF" w:themeColor="background1"/>
              </w:rPr>
            </w:pPr>
            <w:r w:rsidRPr="00FE1175">
              <w:rPr>
                <w:b/>
                <w:bCs/>
                <w:color w:val="FFFFFF" w:themeColor="background1"/>
              </w:rPr>
              <w:t>2022/23</w:t>
            </w:r>
          </w:p>
        </w:tc>
        <w:tc>
          <w:tcPr>
            <w:tcW w:w="1134" w:type="dxa"/>
            <w:shd w:val="clear" w:color="auto" w:fill="808080" w:themeFill="background1" w:themeFillShade="80"/>
            <w:vAlign w:val="center"/>
          </w:tcPr>
          <w:p w:rsidR="00A61B12" w:rsidRPr="00FE1175" w:rsidP="00A61B12" w14:paraId="47DAB464" w14:textId="77777777">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Symbol</w:t>
            </w:r>
          </w:p>
        </w:tc>
        <w:tc>
          <w:tcPr>
            <w:tcW w:w="1275" w:type="dxa"/>
            <w:shd w:val="clear" w:color="auto" w:fill="808080" w:themeFill="background1" w:themeFillShade="80"/>
            <w:vAlign w:val="center"/>
          </w:tcPr>
          <w:p w:rsidR="00A61B12" w:rsidRPr="00FE1175" w:rsidP="00A61B12" w14:paraId="2C4748A1" w14:textId="77777777">
            <w:pPr>
              <w:widowControl w:val="0"/>
              <w:spacing w:after="0" w:line="240" w:lineRule="auto"/>
              <w:jc w:val="center"/>
              <w:outlineLvl w:val="0"/>
              <w:rPr>
                <w:rFonts w:eastAsia="Calibri" w:cs="Times New Roman"/>
                <w:b/>
                <w:bCs/>
                <w:color w:val="FFFFFF" w:themeColor="background1"/>
              </w:rPr>
            </w:pPr>
            <w:r w:rsidRPr="00FE1175">
              <w:rPr>
                <w:rFonts w:eastAsia="Calibri" w:cs="Times New Roman"/>
                <w:b/>
                <w:bCs/>
                <w:color w:val="FFFFFF" w:themeColor="background1"/>
              </w:rPr>
              <w:t>Trend</w:t>
            </w:r>
          </w:p>
        </w:tc>
      </w:tr>
      <w:tr w14:paraId="764F11A8" w14:textId="77777777" w:rsidTr="004A4A67">
        <w:tblPrEx>
          <w:tblW w:w="11199" w:type="dxa"/>
          <w:tblInd w:w="-998"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rsidR="00072209" w:rsidRPr="00FE1175" w:rsidP="00072209" w14:paraId="0FDDCC89" w14:textId="77777777">
            <w:pPr>
              <w:widowControl w:val="0"/>
              <w:spacing w:line="256" w:lineRule="auto"/>
              <w:contextualSpacing/>
              <w:outlineLvl w:val="0"/>
              <w:rPr>
                <w:rFonts w:eastAsia="Calibri" w:cs="Times New Roman"/>
              </w:rPr>
            </w:pPr>
            <w:bookmarkStart w:id="17" w:name="_Hlk84604719"/>
            <w:bookmarkStart w:id="18" w:name="_Hlk64544498"/>
            <w:r w:rsidRPr="00FE1175">
              <w:rPr>
                <w:rFonts w:eastAsia="Calibri" w:cs="Times New Roman"/>
              </w:rPr>
              <w:t>Number of households in temporary accommodation at the end of the quarter</w:t>
            </w:r>
            <w:bookmarkEnd w:id="17"/>
            <w:r w:rsidRPr="00FE1175">
              <w:rPr>
                <w:rFonts w:eastAsia="Calibri" w:cs="Times New Roman"/>
              </w:rPr>
              <w:t xml:space="preserve">  </w:t>
            </w:r>
          </w:p>
        </w:tc>
        <w:tc>
          <w:tcPr>
            <w:tcW w:w="1134" w:type="dxa"/>
            <w:vAlign w:val="center"/>
          </w:tcPr>
          <w:p w:rsidR="00072209" w:rsidRPr="00FE1175" w:rsidP="00072209" w14:paraId="4AFC6D93" w14:textId="77777777">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vAlign w:val="center"/>
          </w:tcPr>
          <w:p w:rsidR="00072209" w:rsidRPr="00FE1175" w:rsidP="00072209" w14:paraId="51047705" w14:textId="5231C001">
            <w:pPr>
              <w:widowControl w:val="0"/>
              <w:spacing w:line="256" w:lineRule="auto"/>
              <w:contextualSpacing/>
              <w:jc w:val="center"/>
              <w:outlineLvl w:val="0"/>
              <w:rPr>
                <w:rFonts w:eastAsia="Calibri" w:cs="Times New Roman"/>
              </w:rPr>
            </w:pPr>
            <w:r>
              <w:rPr>
                <w:rFonts w:eastAsia="Calibri" w:cs="Times New Roman"/>
              </w:rPr>
              <w:t>44</w:t>
            </w:r>
          </w:p>
        </w:tc>
        <w:tc>
          <w:tcPr>
            <w:tcW w:w="1559" w:type="dxa"/>
            <w:shd w:val="clear" w:color="auto" w:fill="auto"/>
          </w:tcPr>
          <w:p w:rsidR="00072209" w:rsidP="00072209" w14:paraId="273474CA" w14:textId="77777777">
            <w:pPr>
              <w:widowControl w:val="0"/>
              <w:spacing w:line="256" w:lineRule="auto"/>
              <w:contextualSpacing/>
              <w:jc w:val="center"/>
              <w:outlineLvl w:val="0"/>
              <w:rPr>
                <w:rFonts w:eastAsia="Calibri" w:cs="Times New Roman"/>
              </w:rPr>
            </w:pPr>
          </w:p>
          <w:p w:rsidR="00072209" w:rsidP="00072209" w14:paraId="56DDDEA4" w14:textId="2A75509A">
            <w:pPr>
              <w:widowControl w:val="0"/>
              <w:spacing w:line="256" w:lineRule="auto"/>
              <w:contextualSpacing/>
              <w:jc w:val="center"/>
              <w:outlineLvl w:val="0"/>
              <w:rPr>
                <w:rFonts w:eastAsia="Calibri" w:cs="Times New Roman"/>
              </w:rPr>
            </w:pPr>
            <w:r>
              <w:rPr>
                <w:rFonts w:eastAsia="Calibri" w:cs="Times New Roman"/>
              </w:rPr>
              <w:t>43</w:t>
            </w:r>
          </w:p>
          <w:p w:rsidR="00072209" w:rsidRPr="00072209" w:rsidP="00072209" w14:paraId="25068442" w14:textId="56AD713C">
            <w:pPr>
              <w:widowControl w:val="0"/>
              <w:spacing w:line="256" w:lineRule="auto"/>
              <w:contextualSpacing/>
              <w:jc w:val="center"/>
              <w:outlineLvl w:val="0"/>
              <w:rPr>
                <w:rFonts w:eastAsia="Calibri" w:cs="Times New Roman"/>
              </w:rPr>
            </w:pPr>
            <w:r w:rsidRPr="00751A37">
              <w:rPr>
                <w:rFonts w:eastAsia="Calibri" w:cs="Times New Roman"/>
              </w:rPr>
              <w:t>(Q1:2022/23)</w:t>
            </w:r>
          </w:p>
        </w:tc>
        <w:tc>
          <w:tcPr>
            <w:tcW w:w="1462" w:type="dxa"/>
            <w:shd w:val="clear" w:color="auto" w:fill="auto"/>
            <w:vAlign w:val="center"/>
          </w:tcPr>
          <w:p w:rsidR="00072209" w:rsidRPr="00FE1175" w:rsidP="00072209" w14:paraId="060C9619" w14:textId="326041D4">
            <w:pPr>
              <w:widowControl w:val="0"/>
              <w:spacing w:line="256" w:lineRule="auto"/>
              <w:contextualSpacing/>
              <w:jc w:val="center"/>
              <w:outlineLvl w:val="0"/>
              <w:rPr>
                <w:rFonts w:eastAsia="Calibri" w:cstheme="minorHAnsi"/>
                <w:b/>
                <w:bCs/>
              </w:rPr>
            </w:pPr>
            <w:r>
              <w:rPr>
                <w:rFonts w:eastAsia="Calibri" w:cstheme="minorHAnsi"/>
                <w:b/>
                <w:bCs/>
              </w:rPr>
              <w:t>52</w:t>
            </w:r>
          </w:p>
        </w:tc>
        <w:tc>
          <w:tcPr>
            <w:tcW w:w="1134" w:type="dxa"/>
            <w:vAlign w:val="center"/>
          </w:tcPr>
          <w:p w:rsidR="00072209" w:rsidRPr="00FE1175" w:rsidP="00072209" w14:paraId="2BE6E073" w14:textId="6377F6C4">
            <w:pPr>
              <w:widowControl w:val="0"/>
              <w:spacing w:line="256" w:lineRule="auto"/>
              <w:contextualSpacing/>
              <w:jc w:val="center"/>
              <w:outlineLvl w:val="0"/>
              <w:rPr>
                <w:rFonts w:eastAsia="Calibri" w:cstheme="minorHAnsi"/>
                <w:sz w:val="36"/>
                <w:szCs w:val="36"/>
              </w:rPr>
            </w:pPr>
            <w:r w:rsidRPr="00FE1175">
              <w:rPr>
                <w:rFonts w:ascii="Wingdings 3" w:eastAsia="Arial" w:hAnsi="Wingdings 3" w:cstheme="minorHAnsi"/>
                <w:color w:val="FF0000"/>
                <w:sz w:val="32"/>
                <w:szCs w:val="32"/>
              </w:rPr>
              <w:sym w:font="Wingdings 3" w:char="F070"/>
            </w:r>
          </w:p>
        </w:tc>
        <w:tc>
          <w:tcPr>
            <w:tcW w:w="1275" w:type="dxa"/>
            <w:vAlign w:val="center"/>
          </w:tcPr>
          <w:p w:rsidR="00072209" w:rsidRPr="00FE1175" w:rsidP="00072209" w14:paraId="533D6B6D" w14:textId="1E0CA686">
            <w:pPr>
              <w:widowControl w:val="0"/>
              <w:spacing w:line="256" w:lineRule="auto"/>
              <w:contextualSpacing/>
              <w:jc w:val="center"/>
              <w:outlineLvl w:val="0"/>
              <w:rPr>
                <w:rFonts w:eastAsia="Calibri" w:cstheme="minorHAnsi"/>
                <w:b/>
                <w:bCs/>
                <w:sz w:val="20"/>
                <w:szCs w:val="20"/>
              </w:rPr>
            </w:pPr>
            <w:r w:rsidRPr="008576E2">
              <w:rPr>
                <w:rFonts w:eastAsia="Calibri" w:cstheme="minorHAnsi"/>
                <w:b/>
                <w:bCs/>
                <w:color w:val="FF0000"/>
                <w:sz w:val="20"/>
                <w:szCs w:val="20"/>
              </w:rPr>
              <w:t xml:space="preserve"> Worse than Q2 2021/22</w:t>
            </w:r>
          </w:p>
        </w:tc>
      </w:tr>
      <w:tr w14:paraId="5E02B407" w14:textId="77777777" w:rsidTr="004A4A67">
        <w:tblPrEx>
          <w:tblW w:w="11199" w:type="dxa"/>
          <w:tblInd w:w="-998"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rsidR="00072209" w:rsidRPr="00FE1175" w:rsidP="00072209" w14:paraId="3E443FB5" w14:textId="77777777">
            <w:pPr>
              <w:widowControl w:val="0"/>
              <w:spacing w:line="256" w:lineRule="auto"/>
              <w:contextualSpacing/>
              <w:outlineLvl w:val="0"/>
              <w:rPr>
                <w:rFonts w:eastAsia="Calibri" w:cs="Times New Roman"/>
              </w:rPr>
            </w:pPr>
            <w:r w:rsidRPr="00FE1175">
              <w:t>Number of accidents reported to Health and Safety from work related activity</w:t>
            </w:r>
          </w:p>
        </w:tc>
        <w:tc>
          <w:tcPr>
            <w:tcW w:w="1134" w:type="dxa"/>
            <w:vAlign w:val="center"/>
          </w:tcPr>
          <w:p w:rsidR="00072209" w:rsidRPr="00FE1175" w:rsidP="00072209" w14:paraId="5B4CD88C" w14:textId="77777777">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shd w:val="clear" w:color="auto" w:fill="auto"/>
            <w:vAlign w:val="center"/>
          </w:tcPr>
          <w:p w:rsidR="00072209" w:rsidRPr="00FE1175" w:rsidP="00072209" w14:paraId="2E1C4BE0" w14:textId="77777777">
            <w:pPr>
              <w:widowControl w:val="0"/>
              <w:spacing w:line="256" w:lineRule="auto"/>
              <w:contextualSpacing/>
              <w:jc w:val="center"/>
              <w:outlineLvl w:val="0"/>
              <w:rPr>
                <w:rFonts w:eastAsia="Calibri" w:cs="Times New Roman"/>
              </w:rPr>
            </w:pPr>
            <w:r w:rsidRPr="00FE1175">
              <w:t>8</w:t>
            </w:r>
          </w:p>
        </w:tc>
        <w:tc>
          <w:tcPr>
            <w:tcW w:w="1559" w:type="dxa"/>
          </w:tcPr>
          <w:p w:rsidR="00072209" w:rsidP="00072209" w14:paraId="4692DFE1" w14:textId="16806030">
            <w:pPr>
              <w:widowControl w:val="0"/>
              <w:spacing w:line="256" w:lineRule="auto"/>
              <w:contextualSpacing/>
              <w:jc w:val="center"/>
              <w:outlineLvl w:val="0"/>
              <w:rPr>
                <w:rFonts w:eastAsia="Calibri" w:cs="Times New Roman"/>
              </w:rPr>
            </w:pPr>
          </w:p>
          <w:p w:rsidR="00072209" w:rsidP="00072209" w14:paraId="55F6C177" w14:textId="7668DCA0">
            <w:pPr>
              <w:widowControl w:val="0"/>
              <w:spacing w:line="256" w:lineRule="auto"/>
              <w:contextualSpacing/>
              <w:jc w:val="center"/>
              <w:outlineLvl w:val="0"/>
              <w:rPr>
                <w:rFonts w:eastAsia="Calibri" w:cs="Times New Roman"/>
              </w:rPr>
            </w:pPr>
            <w:r>
              <w:rPr>
                <w:rFonts w:eastAsia="Calibri" w:cs="Times New Roman"/>
              </w:rPr>
              <w:t>8</w:t>
            </w:r>
          </w:p>
          <w:p w:rsidR="00072209" w:rsidRPr="00FE1175" w:rsidP="00072209" w14:paraId="6A335F9E" w14:textId="7D80859D">
            <w:pPr>
              <w:widowControl w:val="0"/>
              <w:spacing w:line="256" w:lineRule="auto"/>
              <w:contextualSpacing/>
              <w:jc w:val="center"/>
              <w:outlineLvl w:val="0"/>
              <w:rPr>
                <w:rFonts w:eastAsia="Calibri" w:cstheme="minorHAnsi"/>
              </w:rPr>
            </w:pPr>
            <w:r w:rsidRPr="00751A37">
              <w:rPr>
                <w:rFonts w:eastAsia="Calibri" w:cs="Times New Roman"/>
              </w:rPr>
              <w:t>(Q1:2022/23)</w:t>
            </w:r>
          </w:p>
        </w:tc>
        <w:tc>
          <w:tcPr>
            <w:tcW w:w="1462" w:type="dxa"/>
            <w:vAlign w:val="center"/>
          </w:tcPr>
          <w:p w:rsidR="00072209" w:rsidRPr="00FE1175" w:rsidP="00072209" w14:paraId="4FE820DD" w14:textId="6D9AA38C">
            <w:pPr>
              <w:widowControl w:val="0"/>
              <w:spacing w:line="256" w:lineRule="auto"/>
              <w:contextualSpacing/>
              <w:jc w:val="center"/>
              <w:outlineLvl w:val="0"/>
              <w:rPr>
                <w:rFonts w:eastAsia="Calibri" w:cstheme="minorHAnsi"/>
                <w:b/>
                <w:bCs/>
              </w:rPr>
            </w:pPr>
            <w:r>
              <w:rPr>
                <w:rFonts w:eastAsia="Calibri" w:cstheme="minorHAnsi"/>
                <w:b/>
                <w:bCs/>
              </w:rPr>
              <w:t>7</w:t>
            </w:r>
          </w:p>
        </w:tc>
        <w:tc>
          <w:tcPr>
            <w:tcW w:w="1134" w:type="dxa"/>
            <w:vAlign w:val="center"/>
          </w:tcPr>
          <w:p w:rsidR="00072209" w:rsidRPr="00FE1175" w:rsidP="00072209" w14:paraId="1741B0C7" w14:textId="51F7AB28">
            <w:pPr>
              <w:widowControl w:val="0"/>
              <w:spacing w:line="256" w:lineRule="auto"/>
              <w:contextualSpacing/>
              <w:jc w:val="center"/>
              <w:outlineLvl w:val="0"/>
              <w:rPr>
                <w:rFonts w:eastAsia="Calibri" w:cstheme="minorHAnsi"/>
                <w:sz w:val="40"/>
                <w:szCs w:val="40"/>
              </w:rPr>
            </w:pPr>
            <w:r w:rsidRPr="00FE1175">
              <w:rPr>
                <w:rFonts w:ascii="Wingdings" w:eastAsia="Arial" w:hAnsi="Wingdings" w:cstheme="minorHAnsi"/>
                <w:color w:val="00B050"/>
                <w:sz w:val="40"/>
                <w:szCs w:val="40"/>
              </w:rPr>
              <w:sym w:font="Wingdings" w:char="F0AB"/>
            </w:r>
          </w:p>
        </w:tc>
        <w:tc>
          <w:tcPr>
            <w:tcW w:w="1275" w:type="dxa"/>
            <w:vAlign w:val="center"/>
          </w:tcPr>
          <w:p w:rsidR="00072209" w:rsidRPr="00FE1175" w:rsidP="00072209" w14:paraId="4E278AC0" w14:textId="261C41CC">
            <w:pPr>
              <w:widowControl w:val="0"/>
              <w:spacing w:line="256" w:lineRule="auto"/>
              <w:contextualSpacing/>
              <w:jc w:val="center"/>
              <w:outlineLvl w:val="0"/>
              <w:rPr>
                <w:rFonts w:eastAsia="Calibri" w:cstheme="minorHAnsi"/>
                <w:color w:val="FF0000"/>
                <w:sz w:val="20"/>
                <w:szCs w:val="20"/>
              </w:rPr>
            </w:pPr>
            <w:r w:rsidRPr="00FE1175">
              <w:rPr>
                <w:rFonts w:eastAsia="Calibri" w:cstheme="minorHAnsi"/>
                <w:b/>
                <w:bCs/>
                <w:color w:val="00B050"/>
                <w:sz w:val="20"/>
                <w:szCs w:val="20"/>
              </w:rPr>
              <w:t>Better than Q</w:t>
            </w:r>
            <w:r>
              <w:rPr>
                <w:rFonts w:eastAsia="Calibri" w:cstheme="minorHAnsi"/>
                <w:b/>
                <w:bCs/>
                <w:color w:val="00B050"/>
                <w:sz w:val="20"/>
                <w:szCs w:val="20"/>
              </w:rPr>
              <w:t>2</w:t>
            </w:r>
            <w:r w:rsidRPr="00FE1175">
              <w:rPr>
                <w:rFonts w:eastAsia="Calibri" w:cstheme="minorHAnsi"/>
                <w:b/>
                <w:bCs/>
                <w:color w:val="00B050"/>
                <w:sz w:val="20"/>
                <w:szCs w:val="20"/>
              </w:rPr>
              <w:t xml:space="preserve"> 2021/22</w:t>
            </w:r>
          </w:p>
        </w:tc>
      </w:tr>
      <w:tr w14:paraId="030A4190" w14:textId="77777777" w:rsidTr="004A4A67">
        <w:tblPrEx>
          <w:tblW w:w="11199" w:type="dxa"/>
          <w:tblInd w:w="-998" w:type="dxa"/>
          <w:tblLayout w:type="fixed"/>
          <w:tblLook w:val="04A0"/>
        </w:tblPrEx>
        <w:trPr>
          <w:trHeight w:val="916"/>
        </w:trPr>
        <w:tc>
          <w:tcPr>
            <w:tcW w:w="3359" w:type="dxa"/>
            <w:tcBorders>
              <w:top w:val="nil"/>
              <w:left w:val="single" w:sz="8" w:space="0" w:color="auto"/>
              <w:bottom w:val="single" w:sz="4" w:space="0" w:color="auto"/>
              <w:right w:val="single" w:sz="4" w:space="0" w:color="000000"/>
            </w:tcBorders>
            <w:shd w:val="clear" w:color="000000" w:fill="FFFFFF"/>
            <w:vAlign w:val="center"/>
          </w:tcPr>
          <w:p w:rsidR="00072209" w:rsidRPr="00FE1175" w:rsidP="00072209" w14:paraId="28C146F0" w14:textId="77777777">
            <w:pPr>
              <w:widowControl w:val="0"/>
              <w:spacing w:line="256" w:lineRule="auto"/>
              <w:contextualSpacing/>
              <w:outlineLvl w:val="0"/>
              <w:rPr>
                <w:rFonts w:eastAsia="Calibri" w:cs="Times New Roman"/>
              </w:rPr>
            </w:pPr>
            <w:r w:rsidRPr="00FE1175">
              <w:rPr>
                <w:rFonts w:eastAsia="Calibri" w:cs="Times New Roman"/>
              </w:rPr>
              <w:t>No. of accidents reported to Health Safety Executive for work related activity (RIDDOR)</w:t>
            </w:r>
          </w:p>
        </w:tc>
        <w:tc>
          <w:tcPr>
            <w:tcW w:w="1134" w:type="dxa"/>
            <w:vAlign w:val="center"/>
          </w:tcPr>
          <w:p w:rsidR="00072209" w:rsidRPr="00FE1175" w:rsidP="00072209" w14:paraId="19CB293A" w14:textId="77777777">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shd w:val="clear" w:color="auto" w:fill="auto"/>
            <w:vAlign w:val="center"/>
          </w:tcPr>
          <w:p w:rsidR="00072209" w:rsidRPr="00FE1175" w:rsidP="00072209" w14:paraId="21F946DA" w14:textId="77777777">
            <w:pPr>
              <w:widowControl w:val="0"/>
              <w:spacing w:line="256" w:lineRule="auto"/>
              <w:contextualSpacing/>
              <w:jc w:val="center"/>
              <w:outlineLvl w:val="0"/>
              <w:rPr>
                <w:rFonts w:eastAsia="Calibri" w:cs="Times New Roman"/>
              </w:rPr>
            </w:pPr>
            <w:r w:rsidRPr="00FE1175">
              <w:t>4</w:t>
            </w:r>
          </w:p>
        </w:tc>
        <w:tc>
          <w:tcPr>
            <w:tcW w:w="1559" w:type="dxa"/>
          </w:tcPr>
          <w:p w:rsidR="00072209" w:rsidP="00072209" w14:paraId="1F596E7D" w14:textId="77777777">
            <w:pPr>
              <w:widowControl w:val="0"/>
              <w:spacing w:line="256" w:lineRule="auto"/>
              <w:contextualSpacing/>
              <w:jc w:val="center"/>
              <w:outlineLvl w:val="0"/>
              <w:rPr>
                <w:rFonts w:eastAsia="Calibri" w:cs="Times New Roman"/>
              </w:rPr>
            </w:pPr>
          </w:p>
          <w:p w:rsidR="00072209" w:rsidP="00072209" w14:paraId="38403B19" w14:textId="132800A8">
            <w:pPr>
              <w:widowControl w:val="0"/>
              <w:spacing w:line="256" w:lineRule="auto"/>
              <w:contextualSpacing/>
              <w:jc w:val="center"/>
              <w:outlineLvl w:val="0"/>
              <w:rPr>
                <w:rFonts w:eastAsia="Calibri" w:cs="Times New Roman"/>
              </w:rPr>
            </w:pPr>
            <w:r>
              <w:rPr>
                <w:rFonts w:eastAsia="Calibri" w:cs="Times New Roman"/>
              </w:rPr>
              <w:t>4</w:t>
            </w:r>
          </w:p>
          <w:p w:rsidR="00072209" w:rsidRPr="00FE1175" w:rsidP="00072209" w14:paraId="2768C3BC" w14:textId="541B595E">
            <w:pPr>
              <w:widowControl w:val="0"/>
              <w:spacing w:line="256" w:lineRule="auto"/>
              <w:contextualSpacing/>
              <w:jc w:val="center"/>
              <w:outlineLvl w:val="0"/>
              <w:rPr>
                <w:rFonts w:eastAsia="Calibri" w:cstheme="minorHAnsi"/>
              </w:rPr>
            </w:pPr>
            <w:r w:rsidRPr="00751A37">
              <w:rPr>
                <w:rFonts w:eastAsia="Calibri" w:cs="Times New Roman"/>
              </w:rPr>
              <w:t>(Q1:2022/23)</w:t>
            </w:r>
          </w:p>
        </w:tc>
        <w:tc>
          <w:tcPr>
            <w:tcW w:w="1462" w:type="dxa"/>
            <w:vAlign w:val="center"/>
          </w:tcPr>
          <w:p w:rsidR="00072209" w:rsidRPr="00FE1175" w:rsidP="00072209" w14:paraId="7929C41B" w14:textId="2A81E1C7">
            <w:pPr>
              <w:widowControl w:val="0"/>
              <w:spacing w:line="256" w:lineRule="auto"/>
              <w:contextualSpacing/>
              <w:jc w:val="center"/>
              <w:outlineLvl w:val="0"/>
              <w:rPr>
                <w:rFonts w:eastAsia="Calibri" w:cstheme="minorHAnsi"/>
                <w:b/>
                <w:bCs/>
              </w:rPr>
            </w:pPr>
            <w:r>
              <w:rPr>
                <w:rFonts w:eastAsia="Calibri" w:cstheme="minorHAnsi"/>
                <w:b/>
                <w:bCs/>
              </w:rPr>
              <w:t>0</w:t>
            </w:r>
          </w:p>
        </w:tc>
        <w:tc>
          <w:tcPr>
            <w:tcW w:w="1134" w:type="dxa"/>
            <w:vAlign w:val="center"/>
          </w:tcPr>
          <w:p w:rsidR="00072209" w:rsidRPr="00FE1175" w:rsidP="00072209" w14:paraId="52554495" w14:textId="256E0AA1">
            <w:pPr>
              <w:widowControl w:val="0"/>
              <w:spacing w:line="256" w:lineRule="auto"/>
              <w:contextualSpacing/>
              <w:jc w:val="center"/>
              <w:outlineLvl w:val="0"/>
              <w:rPr>
                <w:rFonts w:eastAsia="Calibri" w:cstheme="minorHAnsi"/>
                <w:sz w:val="40"/>
                <w:szCs w:val="40"/>
              </w:rPr>
            </w:pPr>
            <w:r w:rsidRPr="00FE1175">
              <w:rPr>
                <w:rFonts w:ascii="Wingdings" w:eastAsia="Arial" w:hAnsi="Wingdings" w:cstheme="minorHAnsi"/>
                <w:color w:val="00B050"/>
                <w:sz w:val="40"/>
                <w:szCs w:val="40"/>
              </w:rPr>
              <w:sym w:font="Wingdings" w:char="F0AB"/>
            </w:r>
          </w:p>
        </w:tc>
        <w:tc>
          <w:tcPr>
            <w:tcW w:w="1275" w:type="dxa"/>
            <w:vAlign w:val="center"/>
          </w:tcPr>
          <w:p w:rsidR="00072209" w:rsidRPr="00FE1175" w:rsidP="00072209" w14:paraId="2C34DCE0" w14:textId="29DA20D6">
            <w:pPr>
              <w:widowControl w:val="0"/>
              <w:spacing w:line="256" w:lineRule="auto"/>
              <w:contextualSpacing/>
              <w:jc w:val="center"/>
              <w:outlineLvl w:val="0"/>
              <w:rPr>
                <w:rFonts w:eastAsia="Calibri" w:cstheme="minorHAnsi"/>
                <w:color w:val="FF0000"/>
                <w:sz w:val="20"/>
                <w:szCs w:val="20"/>
              </w:rPr>
            </w:pPr>
            <w:r w:rsidRPr="00FE1175">
              <w:rPr>
                <w:rFonts w:eastAsia="Calibri" w:cstheme="minorHAnsi"/>
                <w:b/>
                <w:bCs/>
                <w:color w:val="00B050"/>
                <w:sz w:val="20"/>
                <w:szCs w:val="20"/>
              </w:rPr>
              <w:t>Better than Q</w:t>
            </w:r>
            <w:r>
              <w:rPr>
                <w:rFonts w:eastAsia="Calibri" w:cstheme="minorHAnsi"/>
                <w:b/>
                <w:bCs/>
                <w:color w:val="00B050"/>
                <w:sz w:val="20"/>
                <w:szCs w:val="20"/>
              </w:rPr>
              <w:t>2</w:t>
            </w:r>
            <w:r w:rsidRPr="00FE1175">
              <w:rPr>
                <w:rFonts w:eastAsia="Calibri" w:cstheme="minorHAnsi"/>
                <w:b/>
                <w:bCs/>
                <w:color w:val="00B050"/>
                <w:sz w:val="20"/>
                <w:szCs w:val="20"/>
              </w:rPr>
              <w:t xml:space="preserve"> 2021/22</w:t>
            </w:r>
          </w:p>
        </w:tc>
      </w:tr>
      <w:tr w14:paraId="47F68463" w14:textId="77777777" w:rsidTr="00416629">
        <w:tblPrEx>
          <w:tblW w:w="11199" w:type="dxa"/>
          <w:tblInd w:w="-998" w:type="dxa"/>
          <w:tblLayout w:type="fixed"/>
          <w:tblLook w:val="04A0"/>
        </w:tblPrEx>
        <w:trPr>
          <w:trHeight w:val="1295"/>
        </w:trPr>
        <w:tc>
          <w:tcPr>
            <w:tcW w:w="3359" w:type="dxa"/>
            <w:tcBorders>
              <w:top w:val="nil"/>
              <w:left w:val="single" w:sz="8" w:space="0" w:color="auto"/>
              <w:bottom w:val="single" w:sz="4" w:space="0" w:color="auto"/>
              <w:right w:val="single" w:sz="4" w:space="0" w:color="000000"/>
            </w:tcBorders>
            <w:shd w:val="clear" w:color="000000" w:fill="FFFFFF"/>
            <w:vAlign w:val="center"/>
          </w:tcPr>
          <w:p w:rsidR="00072209" w:rsidRPr="00FE1175" w:rsidP="00072209" w14:paraId="253E6614" w14:textId="4E560A24">
            <w:pPr>
              <w:widowControl w:val="0"/>
              <w:spacing w:line="256" w:lineRule="auto"/>
              <w:contextualSpacing/>
              <w:outlineLvl w:val="0"/>
              <w:rPr>
                <w:rFonts w:eastAsia="Calibri" w:cs="Times New Roman"/>
              </w:rPr>
            </w:pPr>
            <w:r w:rsidRPr="00A126F4">
              <w:rPr>
                <w:rFonts w:eastAsia="Calibri" w:cs="Times New Roman"/>
              </w:rPr>
              <w:t>Number of near misses reported and acted upon</w:t>
            </w:r>
          </w:p>
        </w:tc>
        <w:tc>
          <w:tcPr>
            <w:tcW w:w="1134" w:type="dxa"/>
            <w:vAlign w:val="center"/>
          </w:tcPr>
          <w:p w:rsidR="00072209" w:rsidRPr="00FE1175" w:rsidP="00072209" w14:paraId="65DECB61" w14:textId="4336923B">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rsidR="00072209" w:rsidRPr="00FE1175" w:rsidP="00072209" w14:paraId="2F2D3855" w14:textId="731168F0">
            <w:pPr>
              <w:widowControl w:val="0"/>
              <w:spacing w:line="256" w:lineRule="auto"/>
              <w:contextualSpacing/>
              <w:jc w:val="center"/>
              <w:outlineLvl w:val="0"/>
              <w:rPr>
                <w:rFonts w:eastAsia="Calibri" w:cs="Times New Roman"/>
              </w:rPr>
            </w:pPr>
            <w:r>
              <w:rPr>
                <w:rFonts w:eastAsia="Calibri" w:cs="Times New Roman"/>
              </w:rPr>
              <w:t xml:space="preserve">Target to improve trend </w:t>
            </w:r>
          </w:p>
        </w:tc>
        <w:tc>
          <w:tcPr>
            <w:tcW w:w="1559" w:type="dxa"/>
            <w:vAlign w:val="center"/>
          </w:tcPr>
          <w:p w:rsidR="00072209" w:rsidP="00072209" w14:paraId="72D711E3" w14:textId="3FD62EAC">
            <w:pPr>
              <w:widowControl w:val="0"/>
              <w:spacing w:line="256" w:lineRule="auto"/>
              <w:contextualSpacing/>
              <w:jc w:val="center"/>
              <w:outlineLvl w:val="0"/>
              <w:rPr>
                <w:rFonts w:eastAsia="Calibri" w:cs="Times New Roman"/>
              </w:rPr>
            </w:pPr>
            <w:r>
              <w:rPr>
                <w:rFonts w:eastAsia="Calibri" w:cs="Times New Roman"/>
              </w:rPr>
              <w:t>0</w:t>
            </w:r>
          </w:p>
          <w:p w:rsidR="00072209" w:rsidRPr="00FE1175" w:rsidP="00072209" w14:paraId="74D6E486" w14:textId="0BA5CDDB">
            <w:pPr>
              <w:widowControl w:val="0"/>
              <w:spacing w:line="256" w:lineRule="auto"/>
              <w:contextualSpacing/>
              <w:jc w:val="center"/>
              <w:outlineLvl w:val="0"/>
              <w:rPr>
                <w:rFonts w:eastAsia="Calibri" w:cstheme="minorHAnsi"/>
              </w:rPr>
            </w:pPr>
            <w:r w:rsidRPr="00FE1175">
              <w:rPr>
                <w:rFonts w:eastAsia="Calibri" w:cs="Times New Roman"/>
              </w:rPr>
              <w:t>(Q</w:t>
            </w:r>
            <w:r>
              <w:rPr>
                <w:rFonts w:eastAsia="Calibri" w:cs="Times New Roman"/>
              </w:rPr>
              <w:t>1</w:t>
            </w:r>
            <w:r w:rsidRPr="00FE1175">
              <w:rPr>
                <w:rFonts w:eastAsia="Calibri" w:cs="Times New Roman"/>
              </w:rPr>
              <w:t>:202</w:t>
            </w:r>
            <w:r>
              <w:rPr>
                <w:rFonts w:eastAsia="Calibri" w:cs="Times New Roman"/>
              </w:rPr>
              <w:t>2</w:t>
            </w:r>
            <w:r w:rsidRPr="00FE1175">
              <w:rPr>
                <w:rFonts w:eastAsia="Calibri" w:cs="Times New Roman"/>
              </w:rPr>
              <w:t>/2</w:t>
            </w:r>
            <w:r>
              <w:rPr>
                <w:rFonts w:eastAsia="Calibri" w:cs="Times New Roman"/>
              </w:rPr>
              <w:t>3</w:t>
            </w:r>
            <w:r w:rsidRPr="00FE1175">
              <w:rPr>
                <w:rFonts w:eastAsia="Calibri" w:cs="Times New Roman"/>
              </w:rPr>
              <w:t>)</w:t>
            </w:r>
          </w:p>
        </w:tc>
        <w:tc>
          <w:tcPr>
            <w:tcW w:w="1462" w:type="dxa"/>
            <w:vAlign w:val="center"/>
          </w:tcPr>
          <w:p w:rsidR="00072209" w:rsidRPr="00FE1175" w:rsidP="00072209" w14:paraId="7309EC1A" w14:textId="16C9440B">
            <w:pPr>
              <w:widowControl w:val="0"/>
              <w:spacing w:line="256" w:lineRule="auto"/>
              <w:contextualSpacing/>
              <w:jc w:val="center"/>
              <w:outlineLvl w:val="0"/>
              <w:rPr>
                <w:rFonts w:eastAsia="Calibri" w:cstheme="minorHAnsi"/>
                <w:b/>
                <w:bCs/>
              </w:rPr>
            </w:pPr>
            <w:r>
              <w:rPr>
                <w:rFonts w:eastAsia="Calibri" w:cstheme="minorHAnsi"/>
                <w:b/>
                <w:bCs/>
              </w:rPr>
              <w:t>3</w:t>
            </w:r>
          </w:p>
        </w:tc>
        <w:tc>
          <w:tcPr>
            <w:tcW w:w="1134" w:type="dxa"/>
            <w:vAlign w:val="center"/>
          </w:tcPr>
          <w:p w:rsidR="00072209" w:rsidRPr="00FE1175" w:rsidP="00072209" w14:paraId="5EB3925C" w14:textId="05957EA1">
            <w:pPr>
              <w:widowControl w:val="0"/>
              <w:spacing w:line="256" w:lineRule="auto"/>
              <w:contextualSpacing/>
              <w:jc w:val="center"/>
              <w:outlineLvl w:val="0"/>
              <w:rPr>
                <w:rFonts w:ascii="Wingdings" w:eastAsia="Arial" w:hAnsi="Wingdings" w:cstheme="minorHAnsi"/>
                <w:color w:val="00B050"/>
                <w:sz w:val="40"/>
                <w:szCs w:val="40"/>
              </w:rPr>
            </w:pPr>
            <w:r w:rsidRPr="00FE1175">
              <w:rPr>
                <w:rFonts w:ascii="Wingdings" w:eastAsia="Arial" w:hAnsi="Wingdings" w:cstheme="minorHAnsi"/>
                <w:color w:val="00B050"/>
                <w:sz w:val="40"/>
                <w:szCs w:val="40"/>
              </w:rPr>
              <w:sym w:font="Wingdings" w:char="F0AB"/>
            </w:r>
          </w:p>
        </w:tc>
        <w:tc>
          <w:tcPr>
            <w:tcW w:w="1275" w:type="dxa"/>
            <w:vAlign w:val="center"/>
          </w:tcPr>
          <w:p w:rsidR="00072209" w:rsidRPr="00FE1175" w:rsidP="00072209" w14:paraId="2A02C970" w14:textId="0F180EC0">
            <w:pPr>
              <w:jc w:val="center"/>
              <w:rPr>
                <w:rFonts w:eastAsia="Calibri" w:cstheme="minorHAnsi"/>
                <w:b/>
                <w:bCs/>
                <w:color w:val="00B050"/>
                <w:sz w:val="20"/>
                <w:szCs w:val="20"/>
              </w:rPr>
            </w:pPr>
            <w:r w:rsidRPr="00FE1175">
              <w:rPr>
                <w:rFonts w:eastAsia="Calibri" w:cstheme="minorHAnsi"/>
                <w:b/>
                <w:bCs/>
                <w:color w:val="00B050"/>
                <w:sz w:val="20"/>
                <w:szCs w:val="20"/>
              </w:rPr>
              <w:t>Better than Q</w:t>
            </w:r>
            <w:r>
              <w:rPr>
                <w:rFonts w:eastAsia="Calibri" w:cstheme="minorHAnsi"/>
                <w:b/>
                <w:bCs/>
                <w:color w:val="00B050"/>
                <w:sz w:val="20"/>
                <w:szCs w:val="20"/>
              </w:rPr>
              <w:t>2</w:t>
            </w:r>
            <w:r w:rsidRPr="00FE1175">
              <w:rPr>
                <w:rFonts w:eastAsia="Calibri" w:cstheme="minorHAnsi"/>
                <w:b/>
                <w:bCs/>
                <w:color w:val="00B050"/>
                <w:sz w:val="20"/>
                <w:szCs w:val="20"/>
              </w:rPr>
              <w:t xml:space="preserve"> 2021/22</w:t>
            </w:r>
          </w:p>
        </w:tc>
      </w:tr>
      <w:tr w14:paraId="4A7FC30A" w14:textId="77777777" w:rsidTr="00416629">
        <w:tblPrEx>
          <w:tblW w:w="11199" w:type="dxa"/>
          <w:tblInd w:w="-998" w:type="dxa"/>
          <w:tblLayout w:type="fixed"/>
          <w:tblLook w:val="04A0"/>
        </w:tblPrEx>
        <w:trPr>
          <w:trHeight w:val="1295"/>
        </w:trPr>
        <w:tc>
          <w:tcPr>
            <w:tcW w:w="3359" w:type="dxa"/>
            <w:tcBorders>
              <w:top w:val="nil"/>
              <w:left w:val="single" w:sz="8" w:space="0" w:color="auto"/>
              <w:bottom w:val="single" w:sz="4" w:space="0" w:color="auto"/>
              <w:right w:val="single" w:sz="4" w:space="0" w:color="000000"/>
            </w:tcBorders>
            <w:shd w:val="clear" w:color="000000" w:fill="FFFFFF"/>
            <w:vAlign w:val="center"/>
          </w:tcPr>
          <w:p w:rsidR="00A126F4" w:rsidRPr="00FE1175" w:rsidP="00A126F4" w14:paraId="3B81F007" w14:textId="77777777">
            <w:pPr>
              <w:widowControl w:val="0"/>
              <w:spacing w:line="256" w:lineRule="auto"/>
              <w:contextualSpacing/>
              <w:outlineLvl w:val="0"/>
              <w:rPr>
                <w:rFonts w:eastAsia="Calibri" w:cs="Times New Roman"/>
              </w:rPr>
            </w:pPr>
            <w:bookmarkStart w:id="19" w:name="_Hlk84604744"/>
            <w:r w:rsidRPr="00FE1175">
              <w:rPr>
                <w:rFonts w:eastAsia="Calibri" w:cs="Times New Roman"/>
              </w:rPr>
              <w:t>The average number of working days from Disabled Facilities grant referral received from LCC to application approved</w:t>
            </w:r>
            <w:bookmarkEnd w:id="19"/>
          </w:p>
        </w:tc>
        <w:tc>
          <w:tcPr>
            <w:tcW w:w="1134" w:type="dxa"/>
            <w:vAlign w:val="center"/>
          </w:tcPr>
          <w:p w:rsidR="00A126F4" w:rsidRPr="00FE1175" w:rsidP="00A126F4" w14:paraId="02E217AA" w14:textId="77777777">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shd w:val="clear" w:color="auto" w:fill="auto"/>
            <w:vAlign w:val="center"/>
          </w:tcPr>
          <w:p w:rsidR="00A126F4" w:rsidRPr="00FE1175" w:rsidP="00A126F4" w14:paraId="36B27414" w14:textId="77777777">
            <w:pPr>
              <w:widowControl w:val="0"/>
              <w:spacing w:line="256" w:lineRule="auto"/>
              <w:contextualSpacing/>
              <w:jc w:val="center"/>
              <w:outlineLvl w:val="0"/>
              <w:rPr>
                <w:rFonts w:eastAsia="Calibri" w:cs="Times New Roman"/>
              </w:rPr>
            </w:pPr>
            <w:r w:rsidRPr="00FE1175">
              <w:rPr>
                <w:rFonts w:eastAsia="Calibri" w:cs="Times New Roman"/>
              </w:rPr>
              <w:t>167 Days</w:t>
            </w:r>
          </w:p>
        </w:tc>
        <w:tc>
          <w:tcPr>
            <w:tcW w:w="1559" w:type="dxa"/>
            <w:vAlign w:val="center"/>
          </w:tcPr>
          <w:p w:rsidR="00A126F4" w:rsidP="00A126F4" w14:paraId="56AB443F" w14:textId="2B8980A3">
            <w:pPr>
              <w:widowControl w:val="0"/>
              <w:spacing w:line="256" w:lineRule="auto"/>
              <w:contextualSpacing/>
              <w:jc w:val="center"/>
              <w:outlineLvl w:val="0"/>
              <w:rPr>
                <w:rFonts w:eastAsia="Calibri" w:cs="Times New Roman"/>
              </w:rPr>
            </w:pPr>
            <w:r>
              <w:rPr>
                <w:rFonts w:eastAsia="Calibri" w:cs="Times New Roman"/>
              </w:rPr>
              <w:t>101 days</w:t>
            </w:r>
          </w:p>
          <w:p w:rsidR="00A126F4" w:rsidRPr="00FE1175" w:rsidP="00A126F4" w14:paraId="075CA267" w14:textId="0ACC321D">
            <w:pPr>
              <w:widowControl w:val="0"/>
              <w:spacing w:line="256" w:lineRule="auto"/>
              <w:contextualSpacing/>
              <w:jc w:val="center"/>
              <w:outlineLvl w:val="0"/>
              <w:rPr>
                <w:rFonts w:eastAsia="Calibri" w:cstheme="minorHAnsi"/>
              </w:rPr>
            </w:pPr>
            <w:r w:rsidRPr="00751A37">
              <w:rPr>
                <w:rFonts w:eastAsia="Calibri" w:cs="Times New Roman"/>
              </w:rPr>
              <w:t>(Q1:2022/23</w:t>
            </w:r>
            <w:r w:rsidRPr="00FE1175">
              <w:rPr>
                <w:rFonts w:eastAsia="Calibri" w:cstheme="minorHAnsi"/>
              </w:rPr>
              <w:t>)</w:t>
            </w:r>
          </w:p>
        </w:tc>
        <w:tc>
          <w:tcPr>
            <w:tcW w:w="1462" w:type="dxa"/>
            <w:vAlign w:val="center"/>
          </w:tcPr>
          <w:p w:rsidR="00A126F4" w:rsidRPr="00FE1175" w:rsidP="00A126F4" w14:paraId="07CEF69A" w14:textId="4A82DEE9">
            <w:pPr>
              <w:widowControl w:val="0"/>
              <w:spacing w:line="256" w:lineRule="auto"/>
              <w:contextualSpacing/>
              <w:jc w:val="center"/>
              <w:outlineLvl w:val="0"/>
              <w:rPr>
                <w:rFonts w:eastAsia="Calibri" w:cstheme="minorHAnsi"/>
                <w:b/>
                <w:bCs/>
              </w:rPr>
            </w:pPr>
            <w:r>
              <w:rPr>
                <w:rFonts w:eastAsia="Calibri" w:cstheme="minorHAnsi"/>
                <w:b/>
                <w:bCs/>
              </w:rPr>
              <w:t>76</w:t>
            </w:r>
          </w:p>
        </w:tc>
        <w:tc>
          <w:tcPr>
            <w:tcW w:w="1134" w:type="dxa"/>
            <w:vAlign w:val="center"/>
          </w:tcPr>
          <w:p w:rsidR="00A126F4" w:rsidRPr="00FE1175" w:rsidP="00A126F4" w14:paraId="29D739BA" w14:textId="261AC1A3">
            <w:pPr>
              <w:widowControl w:val="0"/>
              <w:spacing w:line="256" w:lineRule="auto"/>
              <w:contextualSpacing/>
              <w:jc w:val="center"/>
              <w:outlineLvl w:val="0"/>
              <w:rPr>
                <w:rFonts w:eastAsia="Calibri" w:cstheme="minorHAnsi"/>
                <w:sz w:val="40"/>
                <w:szCs w:val="40"/>
              </w:rPr>
            </w:pPr>
            <w:r w:rsidRPr="00FE1175">
              <w:rPr>
                <w:rFonts w:ascii="Wingdings" w:eastAsia="Arial" w:hAnsi="Wingdings" w:cstheme="minorHAnsi"/>
                <w:color w:val="00B050"/>
                <w:sz w:val="40"/>
                <w:szCs w:val="40"/>
              </w:rPr>
              <w:sym w:font="Wingdings" w:char="F0AB"/>
            </w:r>
          </w:p>
        </w:tc>
        <w:tc>
          <w:tcPr>
            <w:tcW w:w="1275" w:type="dxa"/>
            <w:vAlign w:val="center"/>
          </w:tcPr>
          <w:p w:rsidR="00A126F4" w:rsidRPr="00FE1175" w:rsidP="00A126F4" w14:paraId="40CE6EDC" w14:textId="286078C1">
            <w:pPr>
              <w:jc w:val="center"/>
              <w:rPr>
                <w:rFonts w:eastAsia="Calibri" w:cstheme="minorHAnsi"/>
                <w:sz w:val="20"/>
                <w:szCs w:val="20"/>
              </w:rPr>
            </w:pPr>
            <w:r w:rsidRPr="00FE1175">
              <w:rPr>
                <w:rFonts w:eastAsia="Calibri" w:cstheme="minorHAnsi"/>
                <w:b/>
                <w:bCs/>
                <w:color w:val="00B050"/>
                <w:sz w:val="20"/>
                <w:szCs w:val="20"/>
              </w:rPr>
              <w:t>Better than Q</w:t>
            </w:r>
            <w:r>
              <w:rPr>
                <w:rFonts w:eastAsia="Calibri" w:cstheme="minorHAnsi"/>
                <w:b/>
                <w:bCs/>
                <w:color w:val="00B050"/>
                <w:sz w:val="20"/>
                <w:szCs w:val="20"/>
              </w:rPr>
              <w:t>2</w:t>
            </w:r>
            <w:r w:rsidRPr="00FE1175">
              <w:rPr>
                <w:rFonts w:eastAsia="Calibri" w:cstheme="minorHAnsi"/>
                <w:b/>
                <w:bCs/>
                <w:color w:val="00B050"/>
                <w:sz w:val="20"/>
                <w:szCs w:val="20"/>
              </w:rPr>
              <w:t xml:space="preserve"> 2021/22</w:t>
            </w:r>
          </w:p>
        </w:tc>
      </w:tr>
      <w:tr w14:paraId="6CA854F0" w14:textId="77777777" w:rsidTr="00416629">
        <w:tblPrEx>
          <w:tblW w:w="11199" w:type="dxa"/>
          <w:tblInd w:w="-998"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rsidR="00A126F4" w:rsidRPr="00FE1175" w:rsidP="00A126F4" w14:paraId="226A3DA9" w14:textId="77777777">
            <w:pPr>
              <w:widowControl w:val="0"/>
              <w:spacing w:line="256" w:lineRule="auto"/>
              <w:contextualSpacing/>
              <w:outlineLvl w:val="0"/>
              <w:rPr>
                <w:rFonts w:eastAsia="Calibri" w:cs="Times New Roman"/>
              </w:rPr>
            </w:pPr>
            <w:r w:rsidRPr="00FE1175">
              <w:rPr>
                <w:rFonts w:eastAsia="Calibri" w:cs="Times New Roman"/>
              </w:rPr>
              <w:t>% planning applications decided within 13 weeks (major applications)</w:t>
            </w:r>
          </w:p>
        </w:tc>
        <w:tc>
          <w:tcPr>
            <w:tcW w:w="1134" w:type="dxa"/>
            <w:vAlign w:val="center"/>
          </w:tcPr>
          <w:p w:rsidR="00A126F4" w:rsidRPr="00FE1175" w:rsidP="00A126F4" w14:paraId="60CC4CDE" w14:textId="77777777">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rsidR="00A126F4" w:rsidRPr="00FE1175" w:rsidP="00A126F4" w14:paraId="18ADBDA3" w14:textId="77777777">
            <w:pPr>
              <w:widowControl w:val="0"/>
              <w:spacing w:line="256" w:lineRule="auto"/>
              <w:contextualSpacing/>
              <w:jc w:val="center"/>
              <w:outlineLvl w:val="0"/>
              <w:rPr>
                <w:rFonts w:eastAsia="Calibri" w:cs="Times New Roman"/>
              </w:rPr>
            </w:pPr>
            <w:r w:rsidRPr="00FE1175">
              <w:rPr>
                <w:rFonts w:eastAsia="Calibri" w:cs="Times New Roman"/>
              </w:rPr>
              <w:t>80%</w:t>
            </w:r>
          </w:p>
        </w:tc>
        <w:tc>
          <w:tcPr>
            <w:tcW w:w="1559" w:type="dxa"/>
            <w:vAlign w:val="center"/>
          </w:tcPr>
          <w:p w:rsidR="00A126F4" w:rsidP="00A126F4" w14:paraId="3B220A89" w14:textId="68DCA224">
            <w:pPr>
              <w:widowControl w:val="0"/>
              <w:spacing w:line="256" w:lineRule="auto"/>
              <w:contextualSpacing/>
              <w:jc w:val="center"/>
              <w:outlineLvl w:val="0"/>
              <w:rPr>
                <w:rFonts w:eastAsia="Calibri" w:cs="Times New Roman"/>
              </w:rPr>
            </w:pPr>
            <w:r>
              <w:rPr>
                <w:rFonts w:eastAsia="Calibri" w:cs="Times New Roman"/>
              </w:rPr>
              <w:t>100%</w:t>
            </w:r>
          </w:p>
          <w:p w:rsidR="00A126F4" w:rsidRPr="00FE1175" w:rsidP="00A126F4" w14:paraId="24BAA16E" w14:textId="73A925F5">
            <w:pPr>
              <w:widowControl w:val="0"/>
              <w:spacing w:line="256" w:lineRule="auto"/>
              <w:contextualSpacing/>
              <w:jc w:val="center"/>
              <w:outlineLvl w:val="0"/>
              <w:rPr>
                <w:rFonts w:eastAsia="Calibri" w:cstheme="minorHAnsi"/>
              </w:rPr>
            </w:pPr>
            <w:r w:rsidRPr="00751A37">
              <w:rPr>
                <w:rFonts w:eastAsia="Calibri" w:cs="Times New Roman"/>
              </w:rPr>
              <w:t>(Q1:2022/23)</w:t>
            </w:r>
          </w:p>
        </w:tc>
        <w:tc>
          <w:tcPr>
            <w:tcW w:w="1462" w:type="dxa"/>
            <w:vAlign w:val="center"/>
          </w:tcPr>
          <w:p w:rsidR="00A126F4" w:rsidRPr="00FE1175" w:rsidP="00A126F4" w14:paraId="26CFB08F" w14:textId="77777777">
            <w:pPr>
              <w:widowControl w:val="0"/>
              <w:spacing w:line="256" w:lineRule="auto"/>
              <w:contextualSpacing/>
              <w:jc w:val="center"/>
              <w:outlineLvl w:val="0"/>
              <w:rPr>
                <w:rFonts w:eastAsia="Calibri" w:cstheme="minorHAnsi"/>
                <w:b/>
                <w:bCs/>
              </w:rPr>
            </w:pPr>
            <w:r w:rsidRPr="00FE1175">
              <w:rPr>
                <w:rFonts w:eastAsia="Calibri" w:cstheme="minorHAnsi"/>
                <w:b/>
                <w:bCs/>
              </w:rPr>
              <w:t>100%</w:t>
            </w:r>
          </w:p>
        </w:tc>
        <w:tc>
          <w:tcPr>
            <w:tcW w:w="1134" w:type="dxa"/>
            <w:vAlign w:val="center"/>
          </w:tcPr>
          <w:p w:rsidR="00A126F4" w:rsidRPr="00FE1175" w:rsidP="00A126F4" w14:paraId="08B52F40" w14:textId="77777777">
            <w:pPr>
              <w:widowControl w:val="0"/>
              <w:spacing w:line="256" w:lineRule="auto"/>
              <w:contextualSpacing/>
              <w:jc w:val="center"/>
              <w:outlineLvl w:val="0"/>
              <w:rPr>
                <w:rFonts w:eastAsia="Calibri" w:cstheme="minorHAnsi"/>
                <w:sz w:val="40"/>
                <w:szCs w:val="40"/>
              </w:rPr>
            </w:pPr>
            <w:r w:rsidRPr="00FE1175">
              <w:rPr>
                <w:rFonts w:ascii="Wingdings" w:eastAsia="Arial" w:hAnsi="Wingdings" w:cstheme="minorHAnsi"/>
                <w:color w:val="00B050"/>
                <w:sz w:val="40"/>
                <w:szCs w:val="40"/>
              </w:rPr>
              <w:sym w:font="Wingdings" w:char="F0AB"/>
            </w:r>
          </w:p>
        </w:tc>
        <w:tc>
          <w:tcPr>
            <w:tcW w:w="1275" w:type="dxa"/>
            <w:vAlign w:val="center"/>
          </w:tcPr>
          <w:p w:rsidR="00A126F4" w:rsidRPr="00FE1175" w:rsidP="00A126F4" w14:paraId="29E260CD" w14:textId="738F25EF">
            <w:pPr>
              <w:widowControl w:val="0"/>
              <w:spacing w:line="256" w:lineRule="auto"/>
              <w:contextualSpacing/>
              <w:jc w:val="center"/>
              <w:outlineLvl w:val="0"/>
              <w:rPr>
                <w:rFonts w:eastAsia="Calibri" w:cstheme="minorHAnsi"/>
                <w:color w:val="FF0000"/>
                <w:sz w:val="20"/>
                <w:szCs w:val="20"/>
              </w:rPr>
            </w:pPr>
            <w:r w:rsidRPr="00FE1175">
              <w:rPr>
                <w:rFonts w:eastAsia="Calibri" w:cstheme="minorHAnsi"/>
                <w:b/>
                <w:bCs/>
                <w:color w:val="000000" w:themeColor="text1"/>
                <w:sz w:val="20"/>
                <w:szCs w:val="20"/>
              </w:rPr>
              <w:t>Same as Q</w:t>
            </w:r>
            <w:r>
              <w:rPr>
                <w:rFonts w:eastAsia="Calibri" w:cstheme="minorHAnsi"/>
                <w:b/>
                <w:bCs/>
                <w:color w:val="000000" w:themeColor="text1"/>
                <w:sz w:val="20"/>
                <w:szCs w:val="20"/>
              </w:rPr>
              <w:t>2</w:t>
            </w:r>
            <w:r w:rsidRPr="00FE1175">
              <w:rPr>
                <w:rFonts w:eastAsia="Calibri" w:cstheme="minorHAnsi"/>
                <w:b/>
                <w:bCs/>
                <w:color w:val="000000" w:themeColor="text1"/>
                <w:sz w:val="20"/>
                <w:szCs w:val="20"/>
              </w:rPr>
              <w:t xml:space="preserve"> 2021/22</w:t>
            </w:r>
          </w:p>
        </w:tc>
      </w:tr>
      <w:tr w14:paraId="627E4396" w14:textId="77777777" w:rsidTr="00416629">
        <w:tblPrEx>
          <w:tblW w:w="11199" w:type="dxa"/>
          <w:tblInd w:w="-998"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rsidR="00A126F4" w:rsidRPr="00FE1175" w:rsidP="00A126F4" w14:paraId="10CF6B6F" w14:textId="77777777">
            <w:pPr>
              <w:widowControl w:val="0"/>
              <w:spacing w:line="256" w:lineRule="auto"/>
              <w:contextualSpacing/>
              <w:outlineLvl w:val="0"/>
              <w:rPr>
                <w:rFonts w:eastAsia="Calibri" w:cs="Times New Roman"/>
              </w:rPr>
            </w:pPr>
            <w:r w:rsidRPr="00FE1175">
              <w:rPr>
                <w:rFonts w:eastAsia="Calibri" w:cs="Times New Roman"/>
              </w:rPr>
              <w:t>% planning applications decided within 8 weeks (minor / other applications)</w:t>
            </w:r>
          </w:p>
        </w:tc>
        <w:tc>
          <w:tcPr>
            <w:tcW w:w="1134" w:type="dxa"/>
            <w:vAlign w:val="center"/>
          </w:tcPr>
          <w:p w:rsidR="00A126F4" w:rsidRPr="00FE1175" w:rsidP="00A126F4" w14:paraId="005938B3" w14:textId="77777777">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rsidR="00A126F4" w:rsidRPr="00FE1175" w:rsidP="00A126F4" w14:paraId="79E0E76B" w14:textId="77777777">
            <w:pPr>
              <w:widowControl w:val="0"/>
              <w:spacing w:line="256" w:lineRule="auto"/>
              <w:contextualSpacing/>
              <w:jc w:val="center"/>
              <w:outlineLvl w:val="0"/>
              <w:rPr>
                <w:rFonts w:eastAsia="Calibri" w:cs="Times New Roman"/>
              </w:rPr>
            </w:pPr>
            <w:r w:rsidRPr="00FE1175">
              <w:rPr>
                <w:rFonts w:eastAsia="Calibri" w:cs="Times New Roman"/>
              </w:rPr>
              <w:t>85%</w:t>
            </w:r>
          </w:p>
        </w:tc>
        <w:tc>
          <w:tcPr>
            <w:tcW w:w="1559" w:type="dxa"/>
            <w:vAlign w:val="center"/>
          </w:tcPr>
          <w:p w:rsidR="00A126F4" w:rsidP="00A126F4" w14:paraId="01039F20" w14:textId="39B1A2AE">
            <w:pPr>
              <w:widowControl w:val="0"/>
              <w:spacing w:line="256" w:lineRule="auto"/>
              <w:contextualSpacing/>
              <w:jc w:val="center"/>
              <w:outlineLvl w:val="0"/>
              <w:rPr>
                <w:rFonts w:eastAsia="Calibri" w:cs="Times New Roman"/>
              </w:rPr>
            </w:pPr>
            <w:r>
              <w:rPr>
                <w:rFonts w:eastAsia="Calibri" w:cs="Times New Roman"/>
              </w:rPr>
              <w:t>87.2%</w:t>
            </w:r>
          </w:p>
          <w:p w:rsidR="00A126F4" w:rsidRPr="00FE1175" w:rsidP="00A126F4" w14:paraId="55A2C49C" w14:textId="212AC63C">
            <w:pPr>
              <w:widowControl w:val="0"/>
              <w:spacing w:line="256" w:lineRule="auto"/>
              <w:contextualSpacing/>
              <w:jc w:val="center"/>
              <w:outlineLvl w:val="0"/>
              <w:rPr>
                <w:rFonts w:eastAsia="Calibri" w:cstheme="minorHAnsi"/>
              </w:rPr>
            </w:pPr>
            <w:r w:rsidRPr="00751A37">
              <w:rPr>
                <w:rFonts w:eastAsia="Calibri" w:cs="Times New Roman"/>
              </w:rPr>
              <w:t>(Q1:2022/23)</w:t>
            </w:r>
          </w:p>
        </w:tc>
        <w:tc>
          <w:tcPr>
            <w:tcW w:w="1462" w:type="dxa"/>
            <w:vAlign w:val="center"/>
          </w:tcPr>
          <w:p w:rsidR="00A126F4" w:rsidRPr="00FE1175" w:rsidP="00A126F4" w14:paraId="605D6B4A" w14:textId="0FDD3F1A">
            <w:pPr>
              <w:widowControl w:val="0"/>
              <w:spacing w:line="256" w:lineRule="auto"/>
              <w:contextualSpacing/>
              <w:jc w:val="center"/>
              <w:outlineLvl w:val="0"/>
              <w:rPr>
                <w:rFonts w:eastAsia="Calibri" w:cstheme="minorHAnsi"/>
                <w:b/>
                <w:bCs/>
              </w:rPr>
            </w:pPr>
            <w:r>
              <w:rPr>
                <w:rFonts w:eastAsia="Calibri" w:cs="Times New Roman"/>
                <w:b/>
                <w:bCs/>
                <w:sz w:val="20"/>
                <w:szCs w:val="20"/>
              </w:rPr>
              <w:t>84.6%</w:t>
            </w:r>
          </w:p>
        </w:tc>
        <w:tc>
          <w:tcPr>
            <w:tcW w:w="1134" w:type="dxa"/>
            <w:vAlign w:val="center"/>
          </w:tcPr>
          <w:p w:rsidR="00A126F4" w:rsidRPr="00FE1175" w:rsidP="00A126F4" w14:paraId="7AE9CED2" w14:textId="00163225">
            <w:pPr>
              <w:widowControl w:val="0"/>
              <w:spacing w:line="256" w:lineRule="auto"/>
              <w:contextualSpacing/>
              <w:jc w:val="center"/>
              <w:outlineLvl w:val="0"/>
              <w:rPr>
                <w:rFonts w:eastAsia="Calibri" w:cstheme="minorHAnsi"/>
                <w:sz w:val="40"/>
                <w:szCs w:val="40"/>
              </w:rPr>
            </w:pPr>
            <w:r w:rsidRPr="00430D84">
              <w:rPr>
                <w:rFonts w:ascii="Wingdings 2" w:eastAsia="Calibri" w:hAnsi="Wingdings 2" w:cstheme="minorHAnsi"/>
                <w:color w:val="0070C0"/>
                <w:sz w:val="32"/>
                <w:szCs w:val="32"/>
              </w:rPr>
              <w:sym w:font="Wingdings 2" w:char="F098"/>
            </w:r>
          </w:p>
        </w:tc>
        <w:tc>
          <w:tcPr>
            <w:tcW w:w="1275" w:type="dxa"/>
            <w:vAlign w:val="center"/>
          </w:tcPr>
          <w:p w:rsidR="00A126F4" w:rsidRPr="00FE1175" w:rsidP="00A126F4" w14:paraId="76B03F6E" w14:textId="369BC067">
            <w:pPr>
              <w:widowControl w:val="0"/>
              <w:spacing w:line="256" w:lineRule="auto"/>
              <w:contextualSpacing/>
              <w:jc w:val="center"/>
              <w:outlineLvl w:val="0"/>
              <w:rPr>
                <w:rFonts w:eastAsia="Calibri" w:cstheme="minorHAnsi"/>
                <w:color w:val="FF0000"/>
                <w:sz w:val="20"/>
                <w:szCs w:val="20"/>
              </w:rPr>
            </w:pPr>
            <w:r w:rsidRPr="00FE1175">
              <w:rPr>
                <w:rFonts w:eastAsia="Calibri" w:cstheme="minorHAnsi"/>
                <w:b/>
                <w:bCs/>
                <w:color w:val="00B050"/>
                <w:sz w:val="20"/>
                <w:szCs w:val="20"/>
              </w:rPr>
              <w:t>Better than Q</w:t>
            </w:r>
            <w:r>
              <w:rPr>
                <w:rFonts w:eastAsia="Calibri" w:cstheme="minorHAnsi"/>
                <w:b/>
                <w:bCs/>
                <w:color w:val="00B050"/>
                <w:sz w:val="20"/>
                <w:szCs w:val="20"/>
              </w:rPr>
              <w:t>2</w:t>
            </w:r>
            <w:r w:rsidRPr="00FE1175">
              <w:rPr>
                <w:rFonts w:eastAsia="Calibri" w:cstheme="minorHAnsi"/>
                <w:b/>
                <w:bCs/>
                <w:color w:val="00B050"/>
                <w:sz w:val="20"/>
                <w:szCs w:val="20"/>
              </w:rPr>
              <w:t xml:space="preserve"> 2021/22</w:t>
            </w:r>
          </w:p>
        </w:tc>
      </w:tr>
      <w:tr w14:paraId="2B08B308" w14:textId="77777777" w:rsidTr="004A4A67">
        <w:tblPrEx>
          <w:tblW w:w="11199" w:type="dxa"/>
          <w:tblInd w:w="-998" w:type="dxa"/>
          <w:tblLayout w:type="fixed"/>
          <w:tblLook w:val="04A0"/>
        </w:tblPrEx>
        <w:trPr>
          <w:trHeight w:val="946"/>
        </w:trPr>
        <w:tc>
          <w:tcPr>
            <w:tcW w:w="3359" w:type="dxa"/>
            <w:tcBorders>
              <w:top w:val="nil"/>
              <w:left w:val="single" w:sz="8" w:space="0" w:color="auto"/>
              <w:bottom w:val="single" w:sz="4" w:space="0" w:color="auto"/>
              <w:right w:val="single" w:sz="4" w:space="0" w:color="000000"/>
            </w:tcBorders>
            <w:shd w:val="clear" w:color="000000" w:fill="FFFFFF"/>
            <w:vAlign w:val="center"/>
          </w:tcPr>
          <w:p w:rsidR="00A126F4" w:rsidRPr="00FE1175" w:rsidP="00A126F4" w14:paraId="20F3CF99" w14:textId="77777777">
            <w:pPr>
              <w:widowControl w:val="0"/>
              <w:spacing w:line="256" w:lineRule="auto"/>
              <w:contextualSpacing/>
              <w:outlineLvl w:val="0"/>
              <w:rPr>
                <w:rFonts w:eastAsia="Calibri" w:cs="Times New Roman"/>
              </w:rPr>
            </w:pPr>
            <w:r w:rsidRPr="00FE1175">
              <w:rPr>
                <w:rFonts w:eastAsia="Calibri" w:cs="Times New Roman"/>
              </w:rPr>
              <w:t>% of telephone calls answered within 90 seconds</w:t>
            </w:r>
          </w:p>
        </w:tc>
        <w:tc>
          <w:tcPr>
            <w:tcW w:w="1134" w:type="dxa"/>
            <w:vAlign w:val="center"/>
          </w:tcPr>
          <w:p w:rsidR="00A126F4" w:rsidRPr="00FE1175" w:rsidP="00A126F4" w14:paraId="446FEEF5" w14:textId="77777777">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rsidR="00A126F4" w:rsidRPr="00FE1175" w:rsidP="00A126F4" w14:paraId="152F06B2" w14:textId="77777777">
            <w:pPr>
              <w:widowControl w:val="0"/>
              <w:spacing w:line="256" w:lineRule="auto"/>
              <w:contextualSpacing/>
              <w:jc w:val="center"/>
              <w:outlineLvl w:val="0"/>
              <w:rPr>
                <w:rFonts w:eastAsia="Calibri" w:cs="Times New Roman"/>
              </w:rPr>
            </w:pPr>
            <w:r w:rsidRPr="00FE1175">
              <w:rPr>
                <w:rFonts w:eastAsia="Calibri" w:cs="Times New Roman"/>
              </w:rPr>
              <w:t>40%</w:t>
            </w:r>
          </w:p>
        </w:tc>
        <w:tc>
          <w:tcPr>
            <w:tcW w:w="1559" w:type="dxa"/>
            <w:shd w:val="clear" w:color="auto" w:fill="auto"/>
            <w:vAlign w:val="center"/>
          </w:tcPr>
          <w:p w:rsidR="00A126F4" w:rsidP="00A126F4" w14:paraId="7995F740" w14:textId="7E6A45DA">
            <w:pPr>
              <w:widowControl w:val="0"/>
              <w:spacing w:line="256" w:lineRule="auto"/>
              <w:contextualSpacing/>
              <w:jc w:val="center"/>
              <w:outlineLvl w:val="0"/>
              <w:rPr>
                <w:rFonts w:eastAsia="Calibri" w:cs="Times New Roman"/>
              </w:rPr>
            </w:pPr>
            <w:r>
              <w:rPr>
                <w:rFonts w:eastAsia="Calibri" w:cs="Times New Roman"/>
              </w:rPr>
              <w:t>11.43%</w:t>
            </w:r>
          </w:p>
          <w:p w:rsidR="00A126F4" w:rsidRPr="00FE1175" w:rsidP="00A126F4" w14:paraId="266990B0" w14:textId="37C77310">
            <w:pPr>
              <w:widowControl w:val="0"/>
              <w:spacing w:line="256" w:lineRule="auto"/>
              <w:contextualSpacing/>
              <w:jc w:val="center"/>
              <w:outlineLvl w:val="0"/>
              <w:rPr>
                <w:rFonts w:eastAsia="Calibri" w:cstheme="minorHAnsi"/>
              </w:rPr>
            </w:pPr>
            <w:r w:rsidRPr="00751A37">
              <w:rPr>
                <w:rFonts w:eastAsia="Calibri" w:cs="Times New Roman"/>
              </w:rPr>
              <w:t>(Q1:2022/23)</w:t>
            </w:r>
          </w:p>
        </w:tc>
        <w:tc>
          <w:tcPr>
            <w:tcW w:w="1462" w:type="dxa"/>
            <w:shd w:val="clear" w:color="auto" w:fill="auto"/>
            <w:vAlign w:val="center"/>
          </w:tcPr>
          <w:p w:rsidR="00A126F4" w:rsidRPr="00FE1175" w:rsidP="00A126F4" w14:paraId="3AE07D6A" w14:textId="1229C854">
            <w:pPr>
              <w:widowControl w:val="0"/>
              <w:spacing w:line="256" w:lineRule="auto"/>
              <w:contextualSpacing/>
              <w:jc w:val="center"/>
              <w:outlineLvl w:val="0"/>
              <w:rPr>
                <w:rFonts w:eastAsia="Calibri" w:cstheme="minorHAnsi"/>
                <w:b/>
                <w:bCs/>
              </w:rPr>
            </w:pPr>
            <w:r>
              <w:rPr>
                <w:rFonts w:eastAsia="Calibri" w:cstheme="minorHAnsi"/>
                <w:b/>
                <w:bCs/>
              </w:rPr>
              <w:t>21.67%</w:t>
            </w:r>
          </w:p>
        </w:tc>
        <w:tc>
          <w:tcPr>
            <w:tcW w:w="1134" w:type="dxa"/>
            <w:vAlign w:val="center"/>
          </w:tcPr>
          <w:p w:rsidR="00A126F4" w:rsidRPr="00FE1175" w:rsidP="00A126F4" w14:paraId="51381E4E" w14:textId="77777777">
            <w:pPr>
              <w:widowControl w:val="0"/>
              <w:spacing w:line="256" w:lineRule="auto"/>
              <w:contextualSpacing/>
              <w:jc w:val="center"/>
              <w:outlineLvl w:val="0"/>
              <w:rPr>
                <w:rFonts w:eastAsia="Calibri" w:cstheme="minorHAnsi"/>
                <w:sz w:val="32"/>
                <w:szCs w:val="32"/>
              </w:rPr>
            </w:pPr>
            <w:r w:rsidRPr="00FE1175">
              <w:rPr>
                <w:rFonts w:ascii="Wingdings 3" w:eastAsia="Arial" w:hAnsi="Wingdings 3" w:cstheme="minorHAnsi"/>
                <w:color w:val="FF0000"/>
                <w:sz w:val="32"/>
                <w:szCs w:val="32"/>
              </w:rPr>
              <w:sym w:font="Wingdings 3" w:char="F070"/>
            </w:r>
          </w:p>
        </w:tc>
        <w:tc>
          <w:tcPr>
            <w:tcW w:w="1275" w:type="dxa"/>
          </w:tcPr>
          <w:p w:rsidR="00A126F4" w:rsidRPr="00FE1175" w:rsidP="00A126F4" w14:paraId="70EF6528" w14:textId="3FE3556C">
            <w:pPr>
              <w:widowControl w:val="0"/>
              <w:spacing w:line="256" w:lineRule="auto"/>
              <w:contextualSpacing/>
              <w:jc w:val="center"/>
              <w:outlineLvl w:val="0"/>
              <w:rPr>
                <w:rFonts w:eastAsia="Calibri" w:cstheme="minorHAnsi"/>
                <w:color w:val="00B050"/>
                <w:sz w:val="20"/>
                <w:szCs w:val="20"/>
              </w:rPr>
            </w:pPr>
            <w:r w:rsidRPr="008576E2">
              <w:rPr>
                <w:rFonts w:eastAsia="Calibri" w:cstheme="minorHAnsi"/>
                <w:b/>
                <w:bCs/>
                <w:color w:val="FF0000"/>
                <w:sz w:val="20"/>
                <w:szCs w:val="20"/>
              </w:rPr>
              <w:t>Worse than Q2 2021/22</w:t>
            </w:r>
          </w:p>
        </w:tc>
      </w:tr>
      <w:tr w14:paraId="51EEAE22" w14:textId="77777777" w:rsidTr="004A4A67">
        <w:tblPrEx>
          <w:tblW w:w="11199" w:type="dxa"/>
          <w:tblInd w:w="-998" w:type="dxa"/>
          <w:tblLayout w:type="fixed"/>
          <w:tblLook w:val="04A0"/>
        </w:tblPrEx>
        <w:trPr>
          <w:trHeight w:val="847"/>
        </w:trPr>
        <w:tc>
          <w:tcPr>
            <w:tcW w:w="3359" w:type="dxa"/>
            <w:tcBorders>
              <w:top w:val="nil"/>
              <w:left w:val="single" w:sz="8" w:space="0" w:color="auto"/>
              <w:bottom w:val="single" w:sz="4" w:space="0" w:color="auto"/>
              <w:right w:val="single" w:sz="4" w:space="0" w:color="000000"/>
            </w:tcBorders>
            <w:shd w:val="clear" w:color="000000" w:fill="FFFFFF"/>
            <w:vAlign w:val="center"/>
          </w:tcPr>
          <w:p w:rsidR="00A126F4" w:rsidRPr="00FE1175" w:rsidP="00A126F4" w14:paraId="07C90B5B" w14:textId="77777777">
            <w:pPr>
              <w:widowControl w:val="0"/>
              <w:spacing w:line="256" w:lineRule="auto"/>
              <w:contextualSpacing/>
              <w:outlineLvl w:val="0"/>
              <w:rPr>
                <w:rFonts w:eastAsia="Calibri" w:cs="Times New Roman"/>
              </w:rPr>
            </w:pPr>
            <w:r w:rsidRPr="00FE1175">
              <w:rPr>
                <w:rFonts w:eastAsia="Calibri" w:cs="Times New Roman"/>
              </w:rPr>
              <w:t>% of calls abandoned before being answered in a quarter</w:t>
            </w:r>
          </w:p>
        </w:tc>
        <w:tc>
          <w:tcPr>
            <w:tcW w:w="1134" w:type="dxa"/>
            <w:vAlign w:val="center"/>
          </w:tcPr>
          <w:p w:rsidR="00A126F4" w:rsidRPr="00FE1175" w:rsidP="00A126F4" w14:paraId="46C5668B" w14:textId="77777777">
            <w:pPr>
              <w:widowControl w:val="0"/>
              <w:spacing w:line="256" w:lineRule="auto"/>
              <w:contextualSpacing/>
              <w:jc w:val="center"/>
              <w:outlineLvl w:val="0"/>
              <w:rPr>
                <w:rFonts w:eastAsia="Calibri" w:cs="Times New Roman"/>
              </w:rPr>
            </w:pPr>
            <w:r w:rsidRPr="00FE1175">
              <w:rPr>
                <w:rFonts w:eastAsia="Calibri" w:cs="Times New Roman"/>
              </w:rPr>
              <w:t>Smaller is better</w:t>
            </w:r>
          </w:p>
        </w:tc>
        <w:tc>
          <w:tcPr>
            <w:tcW w:w="1276" w:type="dxa"/>
            <w:shd w:val="clear" w:color="auto" w:fill="auto"/>
            <w:vAlign w:val="center"/>
          </w:tcPr>
          <w:p w:rsidR="00A126F4" w:rsidRPr="00FE1175" w:rsidP="00A126F4" w14:paraId="1DFBBD16" w14:textId="77777777">
            <w:pPr>
              <w:widowControl w:val="0"/>
              <w:spacing w:line="256" w:lineRule="auto"/>
              <w:contextualSpacing/>
              <w:jc w:val="center"/>
              <w:outlineLvl w:val="0"/>
              <w:rPr>
                <w:rFonts w:eastAsia="Calibri" w:cs="Times New Roman"/>
              </w:rPr>
            </w:pPr>
            <w:r w:rsidRPr="00FE1175">
              <w:rPr>
                <w:rFonts w:eastAsia="Calibri" w:cs="Times New Roman"/>
              </w:rPr>
              <w:t>15%</w:t>
            </w:r>
          </w:p>
        </w:tc>
        <w:tc>
          <w:tcPr>
            <w:tcW w:w="1559" w:type="dxa"/>
            <w:shd w:val="clear" w:color="auto" w:fill="auto"/>
            <w:vAlign w:val="center"/>
          </w:tcPr>
          <w:p w:rsidR="00A126F4" w:rsidP="00A126F4" w14:paraId="59A6B763" w14:textId="3E97C897">
            <w:pPr>
              <w:widowControl w:val="0"/>
              <w:spacing w:line="256" w:lineRule="auto"/>
              <w:contextualSpacing/>
              <w:jc w:val="center"/>
              <w:outlineLvl w:val="0"/>
              <w:rPr>
                <w:rFonts w:eastAsia="Calibri" w:cs="Times New Roman"/>
              </w:rPr>
            </w:pPr>
            <w:r>
              <w:rPr>
                <w:rFonts w:eastAsia="Calibri" w:cs="Times New Roman"/>
              </w:rPr>
              <w:t>37.13%</w:t>
            </w:r>
          </w:p>
          <w:p w:rsidR="00A126F4" w:rsidRPr="00FE1175" w:rsidP="00A126F4" w14:paraId="3B710D4E" w14:textId="1E12FDFE">
            <w:pPr>
              <w:widowControl w:val="0"/>
              <w:spacing w:line="256" w:lineRule="auto"/>
              <w:contextualSpacing/>
              <w:jc w:val="center"/>
              <w:outlineLvl w:val="0"/>
              <w:rPr>
                <w:rFonts w:eastAsia="Calibri" w:cstheme="minorHAnsi"/>
              </w:rPr>
            </w:pPr>
            <w:r w:rsidRPr="00751A37">
              <w:rPr>
                <w:rFonts w:eastAsia="Calibri" w:cs="Times New Roman"/>
              </w:rPr>
              <w:t>(Q1:2022/23)</w:t>
            </w:r>
          </w:p>
        </w:tc>
        <w:tc>
          <w:tcPr>
            <w:tcW w:w="1462" w:type="dxa"/>
            <w:shd w:val="clear" w:color="auto" w:fill="auto"/>
            <w:vAlign w:val="center"/>
          </w:tcPr>
          <w:p w:rsidR="00A126F4" w:rsidRPr="00FE1175" w:rsidP="00A126F4" w14:paraId="7B183B4E" w14:textId="1B9DAA6A">
            <w:pPr>
              <w:widowControl w:val="0"/>
              <w:spacing w:line="256" w:lineRule="auto"/>
              <w:contextualSpacing/>
              <w:jc w:val="center"/>
              <w:outlineLvl w:val="0"/>
              <w:rPr>
                <w:rFonts w:eastAsia="Calibri" w:cstheme="minorHAnsi"/>
                <w:b/>
                <w:bCs/>
              </w:rPr>
            </w:pPr>
            <w:r>
              <w:rPr>
                <w:rFonts w:eastAsia="Calibri" w:cstheme="minorHAnsi"/>
                <w:b/>
                <w:bCs/>
              </w:rPr>
              <w:t>29.34%</w:t>
            </w:r>
          </w:p>
        </w:tc>
        <w:tc>
          <w:tcPr>
            <w:tcW w:w="1134" w:type="dxa"/>
            <w:vAlign w:val="center"/>
          </w:tcPr>
          <w:p w:rsidR="00A126F4" w:rsidRPr="00FE1175" w:rsidP="00A126F4" w14:paraId="6BA81499" w14:textId="77777777">
            <w:pPr>
              <w:widowControl w:val="0"/>
              <w:spacing w:line="256" w:lineRule="auto"/>
              <w:contextualSpacing/>
              <w:jc w:val="center"/>
              <w:outlineLvl w:val="0"/>
              <w:rPr>
                <w:rFonts w:eastAsia="Calibri" w:cstheme="minorHAnsi"/>
                <w:sz w:val="32"/>
                <w:szCs w:val="32"/>
              </w:rPr>
            </w:pPr>
            <w:r w:rsidRPr="00FE1175">
              <w:rPr>
                <w:rFonts w:ascii="Wingdings 3" w:eastAsia="Arial" w:hAnsi="Wingdings 3" w:cstheme="minorHAnsi"/>
                <w:color w:val="FF0000"/>
                <w:sz w:val="32"/>
                <w:szCs w:val="32"/>
              </w:rPr>
              <w:sym w:font="Wingdings 3" w:char="F070"/>
            </w:r>
          </w:p>
        </w:tc>
        <w:tc>
          <w:tcPr>
            <w:tcW w:w="1275" w:type="dxa"/>
          </w:tcPr>
          <w:p w:rsidR="00A126F4" w:rsidRPr="00FE1175" w:rsidP="00A126F4" w14:paraId="2A2B15C3" w14:textId="2BEEE692">
            <w:pPr>
              <w:widowControl w:val="0"/>
              <w:spacing w:line="256" w:lineRule="auto"/>
              <w:contextualSpacing/>
              <w:jc w:val="center"/>
              <w:outlineLvl w:val="0"/>
              <w:rPr>
                <w:rFonts w:eastAsia="Calibri" w:cstheme="minorHAnsi"/>
                <w:color w:val="00B050"/>
                <w:sz w:val="20"/>
                <w:szCs w:val="20"/>
              </w:rPr>
            </w:pPr>
            <w:r w:rsidRPr="008576E2">
              <w:rPr>
                <w:rFonts w:eastAsia="Calibri" w:cstheme="minorHAnsi"/>
                <w:b/>
                <w:bCs/>
                <w:color w:val="FF0000"/>
                <w:sz w:val="20"/>
                <w:szCs w:val="20"/>
              </w:rPr>
              <w:t>Worse than Q2 2021/22</w:t>
            </w:r>
          </w:p>
        </w:tc>
      </w:tr>
      <w:tr w14:paraId="5698CB45" w14:textId="77777777" w:rsidTr="00416629">
        <w:tblPrEx>
          <w:tblW w:w="11199" w:type="dxa"/>
          <w:tblInd w:w="-998" w:type="dxa"/>
          <w:tblLayout w:type="fixed"/>
          <w:tblLook w:val="04A0"/>
        </w:tblPrEx>
        <w:trPr>
          <w:trHeight w:val="878"/>
        </w:trPr>
        <w:tc>
          <w:tcPr>
            <w:tcW w:w="3359" w:type="dxa"/>
            <w:tcBorders>
              <w:top w:val="nil"/>
              <w:left w:val="single" w:sz="8" w:space="0" w:color="auto"/>
              <w:bottom w:val="single" w:sz="4" w:space="0" w:color="auto"/>
              <w:right w:val="single" w:sz="4" w:space="0" w:color="000000"/>
            </w:tcBorders>
            <w:shd w:val="clear" w:color="000000" w:fill="FFFFFF"/>
            <w:vAlign w:val="center"/>
          </w:tcPr>
          <w:p w:rsidR="00A126F4" w:rsidRPr="00FE1175" w:rsidP="00A126F4" w14:paraId="4C9B3574" w14:textId="77777777">
            <w:pPr>
              <w:widowControl w:val="0"/>
              <w:spacing w:line="256" w:lineRule="auto"/>
              <w:contextualSpacing/>
              <w:outlineLvl w:val="0"/>
              <w:rPr>
                <w:rFonts w:eastAsia="Calibri" w:cs="Times New Roman"/>
              </w:rPr>
            </w:pPr>
            <w:bookmarkStart w:id="20" w:name="_Hlk84604804"/>
            <w:r w:rsidRPr="00FE1175">
              <w:rPr>
                <w:rFonts w:eastAsia="Calibri" w:cs="Times New Roman"/>
              </w:rPr>
              <w:t>Percentage of Council Tax collected (Cumulative YTD)</w:t>
            </w:r>
          </w:p>
        </w:tc>
        <w:tc>
          <w:tcPr>
            <w:tcW w:w="1134" w:type="dxa"/>
            <w:vAlign w:val="center"/>
          </w:tcPr>
          <w:p w:rsidR="00A126F4" w:rsidRPr="00FE1175" w:rsidP="00A126F4" w14:paraId="795E7A94" w14:textId="77777777">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shd w:val="clear" w:color="auto" w:fill="auto"/>
            <w:vAlign w:val="center"/>
          </w:tcPr>
          <w:p w:rsidR="00A126F4" w:rsidRPr="00FE1175" w:rsidP="00A126F4" w14:paraId="38917EFF" w14:textId="3C4A518C">
            <w:pPr>
              <w:widowControl w:val="0"/>
              <w:spacing w:line="256" w:lineRule="auto"/>
              <w:contextualSpacing/>
              <w:jc w:val="center"/>
              <w:outlineLvl w:val="0"/>
              <w:rPr>
                <w:rFonts w:eastAsia="Calibri" w:cs="Times New Roman"/>
              </w:rPr>
            </w:pPr>
            <w:r>
              <w:rPr>
                <w:rFonts w:eastAsia="Calibri" w:cs="Times New Roman"/>
              </w:rPr>
              <w:t>56.50</w:t>
            </w:r>
            <w:r w:rsidRPr="00FE1175">
              <w:rPr>
                <w:rFonts w:eastAsia="Calibri" w:cs="Times New Roman"/>
              </w:rPr>
              <w:t>%</w:t>
            </w:r>
          </w:p>
        </w:tc>
        <w:tc>
          <w:tcPr>
            <w:tcW w:w="1559" w:type="dxa"/>
            <w:shd w:val="clear" w:color="auto" w:fill="auto"/>
            <w:vAlign w:val="center"/>
          </w:tcPr>
          <w:p w:rsidR="00A126F4" w:rsidP="00A126F4" w14:paraId="0622EDB8" w14:textId="117B304E">
            <w:pPr>
              <w:widowControl w:val="0"/>
              <w:spacing w:line="256" w:lineRule="auto"/>
              <w:contextualSpacing/>
              <w:jc w:val="center"/>
              <w:outlineLvl w:val="0"/>
              <w:rPr>
                <w:rFonts w:eastAsia="Calibri" w:cs="Times New Roman"/>
              </w:rPr>
            </w:pPr>
            <w:r>
              <w:rPr>
                <w:rFonts w:eastAsia="Calibri" w:cs="Times New Roman"/>
              </w:rPr>
              <w:t>29.01%</w:t>
            </w:r>
          </w:p>
          <w:p w:rsidR="00A126F4" w:rsidRPr="00FE1175" w:rsidP="00A126F4" w14:paraId="64067DC1" w14:textId="03F91839">
            <w:pPr>
              <w:widowControl w:val="0"/>
              <w:spacing w:line="256" w:lineRule="auto"/>
              <w:contextualSpacing/>
              <w:jc w:val="center"/>
              <w:outlineLvl w:val="0"/>
              <w:rPr>
                <w:rFonts w:eastAsia="Calibri" w:cstheme="minorHAnsi"/>
              </w:rPr>
            </w:pPr>
            <w:r w:rsidRPr="00751A37">
              <w:rPr>
                <w:rFonts w:eastAsia="Calibri" w:cs="Times New Roman"/>
              </w:rPr>
              <w:t>(Q1:2022/23)</w:t>
            </w:r>
          </w:p>
        </w:tc>
        <w:tc>
          <w:tcPr>
            <w:tcW w:w="1462" w:type="dxa"/>
            <w:shd w:val="clear" w:color="auto" w:fill="auto"/>
            <w:vAlign w:val="center"/>
          </w:tcPr>
          <w:p w:rsidR="00A126F4" w:rsidRPr="00FE1175" w:rsidP="00A126F4" w14:paraId="68133C96" w14:textId="5376F5AD">
            <w:pPr>
              <w:widowControl w:val="0"/>
              <w:spacing w:line="256" w:lineRule="auto"/>
              <w:contextualSpacing/>
              <w:jc w:val="center"/>
              <w:outlineLvl w:val="0"/>
              <w:rPr>
                <w:rFonts w:eastAsia="Calibri" w:cstheme="minorHAnsi"/>
                <w:b/>
                <w:bCs/>
              </w:rPr>
            </w:pPr>
            <w:r>
              <w:rPr>
                <w:rFonts w:eastAsia="Calibri" w:cstheme="minorHAnsi"/>
                <w:b/>
                <w:bCs/>
              </w:rPr>
              <w:t>57.10%</w:t>
            </w:r>
          </w:p>
        </w:tc>
        <w:tc>
          <w:tcPr>
            <w:tcW w:w="1134" w:type="dxa"/>
            <w:vAlign w:val="center"/>
          </w:tcPr>
          <w:p w:rsidR="00A126F4" w:rsidRPr="00FE1175" w:rsidP="00A126F4" w14:paraId="450840C6" w14:textId="77777777">
            <w:pPr>
              <w:widowControl w:val="0"/>
              <w:spacing w:line="256" w:lineRule="auto"/>
              <w:contextualSpacing/>
              <w:jc w:val="center"/>
              <w:outlineLvl w:val="0"/>
              <w:rPr>
                <w:rFonts w:eastAsia="Calibri" w:cstheme="minorHAnsi"/>
                <w:color w:val="5B9BD5"/>
                <w:sz w:val="40"/>
                <w:szCs w:val="40"/>
              </w:rPr>
            </w:pPr>
            <w:r w:rsidRPr="00FE1175">
              <w:rPr>
                <w:rFonts w:ascii="Wingdings" w:eastAsia="Arial" w:hAnsi="Wingdings" w:cstheme="minorHAnsi"/>
                <w:color w:val="00B050"/>
                <w:sz w:val="40"/>
                <w:szCs w:val="40"/>
              </w:rPr>
              <w:sym w:font="Wingdings" w:char="F0AB"/>
            </w:r>
          </w:p>
        </w:tc>
        <w:tc>
          <w:tcPr>
            <w:tcW w:w="1275" w:type="dxa"/>
            <w:vAlign w:val="center"/>
          </w:tcPr>
          <w:p w:rsidR="00A126F4" w:rsidRPr="00FE1175" w:rsidP="00A126F4" w14:paraId="68A9D68D" w14:textId="0187CF05">
            <w:pPr>
              <w:widowControl w:val="0"/>
              <w:spacing w:line="256" w:lineRule="auto"/>
              <w:contextualSpacing/>
              <w:jc w:val="center"/>
              <w:outlineLvl w:val="0"/>
              <w:rPr>
                <w:rFonts w:eastAsia="Calibri" w:cstheme="minorHAnsi"/>
                <w:color w:val="FF0000"/>
                <w:sz w:val="20"/>
                <w:szCs w:val="20"/>
              </w:rPr>
            </w:pPr>
            <w:r w:rsidRPr="00FE1175">
              <w:rPr>
                <w:rFonts w:eastAsia="Calibri" w:cstheme="minorHAnsi"/>
                <w:b/>
                <w:bCs/>
                <w:color w:val="00B050"/>
                <w:sz w:val="20"/>
                <w:szCs w:val="20"/>
              </w:rPr>
              <w:t>Better than Q</w:t>
            </w:r>
            <w:r>
              <w:rPr>
                <w:rFonts w:eastAsia="Calibri" w:cstheme="minorHAnsi"/>
                <w:b/>
                <w:bCs/>
                <w:color w:val="00B050"/>
                <w:sz w:val="20"/>
                <w:szCs w:val="20"/>
              </w:rPr>
              <w:t>2</w:t>
            </w:r>
            <w:r w:rsidRPr="00FE1175">
              <w:rPr>
                <w:rFonts w:eastAsia="Calibri" w:cstheme="minorHAnsi"/>
                <w:b/>
                <w:bCs/>
                <w:color w:val="00B050"/>
                <w:sz w:val="20"/>
                <w:szCs w:val="20"/>
              </w:rPr>
              <w:t xml:space="preserve"> 2021/22</w:t>
            </w:r>
          </w:p>
        </w:tc>
      </w:tr>
      <w:tr w14:paraId="7DE828F5" w14:textId="77777777" w:rsidTr="00416629">
        <w:tblPrEx>
          <w:tblW w:w="11199" w:type="dxa"/>
          <w:tblInd w:w="-998" w:type="dxa"/>
          <w:tblLayout w:type="fixed"/>
          <w:tblLook w:val="04A0"/>
        </w:tblPrEx>
        <w:trPr>
          <w:trHeight w:val="936"/>
        </w:trPr>
        <w:tc>
          <w:tcPr>
            <w:tcW w:w="3359" w:type="dxa"/>
            <w:tcBorders>
              <w:top w:val="single" w:sz="4" w:space="0" w:color="auto"/>
              <w:left w:val="single" w:sz="4" w:space="0" w:color="auto"/>
              <w:bottom w:val="single" w:sz="4" w:space="0" w:color="auto"/>
              <w:right w:val="single" w:sz="4" w:space="0" w:color="auto"/>
            </w:tcBorders>
            <w:shd w:val="clear" w:color="000000" w:fill="FFFFFF"/>
            <w:vAlign w:val="center"/>
          </w:tcPr>
          <w:p w:rsidR="00A126F4" w:rsidRPr="00FE1175" w:rsidP="00A126F4" w14:paraId="3EBAED0F" w14:textId="77777777">
            <w:pPr>
              <w:widowControl w:val="0"/>
              <w:spacing w:line="256" w:lineRule="auto"/>
              <w:contextualSpacing/>
              <w:outlineLvl w:val="0"/>
              <w:rPr>
                <w:rFonts w:eastAsia="Calibri" w:cs="Times New Roman"/>
              </w:rPr>
            </w:pPr>
            <w:r w:rsidRPr="00FE1175">
              <w:rPr>
                <w:rFonts w:eastAsia="Calibri" w:cs="Times New Roman"/>
              </w:rPr>
              <w:t>Percentage of Business Rates (Cumulative YTD)</w:t>
            </w:r>
          </w:p>
        </w:tc>
        <w:tc>
          <w:tcPr>
            <w:tcW w:w="1134" w:type="dxa"/>
            <w:vAlign w:val="center"/>
          </w:tcPr>
          <w:p w:rsidR="00A126F4" w:rsidRPr="00FE1175" w:rsidP="00A126F4" w14:paraId="24252DDF" w14:textId="77777777">
            <w:pPr>
              <w:widowControl w:val="0"/>
              <w:spacing w:line="256" w:lineRule="auto"/>
              <w:contextualSpacing/>
              <w:jc w:val="center"/>
              <w:outlineLvl w:val="0"/>
              <w:rPr>
                <w:rFonts w:eastAsia="Calibri" w:cs="Times New Roman"/>
              </w:rPr>
            </w:pPr>
            <w:r w:rsidRPr="00FE1175">
              <w:rPr>
                <w:rFonts w:eastAsia="Calibri" w:cs="Times New Roman"/>
              </w:rPr>
              <w:t>Bigger is better</w:t>
            </w:r>
          </w:p>
        </w:tc>
        <w:tc>
          <w:tcPr>
            <w:tcW w:w="1276" w:type="dxa"/>
            <w:tcBorders>
              <w:left w:val="single" w:sz="4" w:space="0" w:color="auto"/>
            </w:tcBorders>
            <w:shd w:val="clear" w:color="auto" w:fill="auto"/>
            <w:vAlign w:val="center"/>
          </w:tcPr>
          <w:p w:rsidR="00A126F4" w:rsidRPr="00FE1175" w:rsidP="00A126F4" w14:paraId="415D7A2F" w14:textId="183B76D4">
            <w:pPr>
              <w:widowControl w:val="0"/>
              <w:spacing w:line="256" w:lineRule="auto"/>
              <w:contextualSpacing/>
              <w:jc w:val="center"/>
              <w:outlineLvl w:val="0"/>
              <w:rPr>
                <w:rFonts w:eastAsia="Calibri" w:cs="Times New Roman"/>
              </w:rPr>
            </w:pPr>
            <w:r>
              <w:rPr>
                <w:rFonts w:eastAsia="Calibri" w:cs="Times New Roman"/>
              </w:rPr>
              <w:t>51.97</w:t>
            </w:r>
            <w:r w:rsidRPr="00FE1175">
              <w:rPr>
                <w:rFonts w:eastAsia="Calibri" w:cs="Times New Roman"/>
              </w:rPr>
              <w:t>%</w:t>
            </w:r>
          </w:p>
        </w:tc>
        <w:tc>
          <w:tcPr>
            <w:tcW w:w="1559" w:type="dxa"/>
            <w:shd w:val="clear" w:color="auto" w:fill="auto"/>
            <w:vAlign w:val="center"/>
          </w:tcPr>
          <w:p w:rsidR="00A126F4" w:rsidP="00A126F4" w14:paraId="6D3E5B9A" w14:textId="3EE0C579">
            <w:pPr>
              <w:widowControl w:val="0"/>
              <w:spacing w:line="256" w:lineRule="auto"/>
              <w:contextualSpacing/>
              <w:jc w:val="center"/>
              <w:outlineLvl w:val="0"/>
              <w:rPr>
                <w:rFonts w:eastAsia="Calibri" w:cstheme="minorHAnsi"/>
              </w:rPr>
            </w:pPr>
            <w:r>
              <w:rPr>
                <w:rFonts w:eastAsia="Calibri" w:cstheme="minorHAnsi"/>
              </w:rPr>
              <w:t>35.94%</w:t>
            </w:r>
          </w:p>
          <w:p w:rsidR="00A126F4" w:rsidRPr="00FE1175" w:rsidP="00A126F4" w14:paraId="42988B15" w14:textId="0C4D2360">
            <w:pPr>
              <w:widowControl w:val="0"/>
              <w:spacing w:line="256" w:lineRule="auto"/>
              <w:contextualSpacing/>
              <w:jc w:val="center"/>
              <w:outlineLvl w:val="0"/>
              <w:rPr>
                <w:rFonts w:eastAsia="Calibri" w:cstheme="minorHAnsi"/>
              </w:rPr>
            </w:pPr>
            <w:r w:rsidRPr="00751A37">
              <w:rPr>
                <w:rFonts w:eastAsia="Calibri" w:cs="Times New Roman"/>
              </w:rPr>
              <w:t>(Q1:2022/23)</w:t>
            </w:r>
          </w:p>
        </w:tc>
        <w:tc>
          <w:tcPr>
            <w:tcW w:w="1462" w:type="dxa"/>
            <w:shd w:val="clear" w:color="auto" w:fill="auto"/>
            <w:vAlign w:val="center"/>
          </w:tcPr>
          <w:p w:rsidR="00A126F4" w:rsidRPr="00FE1175" w:rsidP="00A126F4" w14:paraId="711C8057" w14:textId="787A75E0">
            <w:pPr>
              <w:widowControl w:val="0"/>
              <w:spacing w:line="256" w:lineRule="auto"/>
              <w:contextualSpacing/>
              <w:jc w:val="center"/>
              <w:outlineLvl w:val="0"/>
              <w:rPr>
                <w:rFonts w:eastAsia="Calibri" w:cstheme="minorHAnsi"/>
                <w:b/>
                <w:bCs/>
              </w:rPr>
            </w:pPr>
            <w:r>
              <w:rPr>
                <w:rFonts w:eastAsia="Calibri" w:cstheme="minorHAnsi"/>
                <w:b/>
                <w:bCs/>
              </w:rPr>
              <w:t>57.05%</w:t>
            </w:r>
          </w:p>
        </w:tc>
        <w:tc>
          <w:tcPr>
            <w:tcW w:w="1134" w:type="dxa"/>
            <w:vAlign w:val="center"/>
          </w:tcPr>
          <w:p w:rsidR="00A126F4" w:rsidRPr="00FE1175" w:rsidP="00A126F4" w14:paraId="6D747008" w14:textId="77777777">
            <w:pPr>
              <w:widowControl w:val="0"/>
              <w:spacing w:line="256" w:lineRule="auto"/>
              <w:contextualSpacing/>
              <w:jc w:val="center"/>
              <w:outlineLvl w:val="0"/>
              <w:rPr>
                <w:rFonts w:eastAsia="Calibri" w:cstheme="minorHAnsi"/>
                <w:color w:val="5B9BD5"/>
                <w:sz w:val="40"/>
                <w:szCs w:val="40"/>
              </w:rPr>
            </w:pPr>
            <w:r w:rsidRPr="00FE1175">
              <w:rPr>
                <w:rFonts w:ascii="Wingdings" w:eastAsia="Arial" w:hAnsi="Wingdings" w:cstheme="minorHAnsi"/>
                <w:color w:val="00B050"/>
                <w:sz w:val="40"/>
                <w:szCs w:val="40"/>
              </w:rPr>
              <w:sym w:font="Wingdings" w:char="F0AB"/>
            </w:r>
          </w:p>
        </w:tc>
        <w:tc>
          <w:tcPr>
            <w:tcW w:w="1275" w:type="dxa"/>
            <w:vAlign w:val="center"/>
          </w:tcPr>
          <w:p w:rsidR="00A126F4" w:rsidRPr="00FE1175" w:rsidP="00A126F4" w14:paraId="26FAC870" w14:textId="521DAA7D">
            <w:pPr>
              <w:widowControl w:val="0"/>
              <w:spacing w:line="256" w:lineRule="auto"/>
              <w:contextualSpacing/>
              <w:jc w:val="center"/>
              <w:outlineLvl w:val="0"/>
              <w:rPr>
                <w:rFonts w:eastAsia="Calibri" w:cstheme="minorHAnsi"/>
                <w:color w:val="FF0000"/>
                <w:sz w:val="20"/>
                <w:szCs w:val="20"/>
              </w:rPr>
            </w:pPr>
            <w:r w:rsidRPr="00FE1175">
              <w:rPr>
                <w:rFonts w:eastAsia="Calibri" w:cstheme="minorHAnsi"/>
                <w:b/>
                <w:bCs/>
                <w:color w:val="00B050"/>
                <w:sz w:val="20"/>
                <w:szCs w:val="20"/>
              </w:rPr>
              <w:t>Better than Q</w:t>
            </w:r>
            <w:r>
              <w:rPr>
                <w:rFonts w:eastAsia="Calibri" w:cstheme="minorHAnsi"/>
                <w:b/>
                <w:bCs/>
                <w:color w:val="00B050"/>
                <w:sz w:val="20"/>
                <w:szCs w:val="20"/>
              </w:rPr>
              <w:t>2</w:t>
            </w:r>
            <w:r w:rsidRPr="00FE1175">
              <w:rPr>
                <w:rFonts w:eastAsia="Calibri" w:cstheme="minorHAnsi"/>
                <w:b/>
                <w:bCs/>
                <w:color w:val="00B050"/>
                <w:sz w:val="20"/>
                <w:szCs w:val="20"/>
              </w:rPr>
              <w:t xml:space="preserve"> 2021/22</w:t>
            </w:r>
          </w:p>
        </w:tc>
      </w:tr>
      <w:bookmarkEnd w:id="16"/>
      <w:bookmarkEnd w:id="18"/>
      <w:bookmarkEnd w:id="20"/>
    </w:tbl>
    <w:p w:rsidR="008E27D0" w:rsidP="00C83BE8" w14:paraId="4E7828A7" w14:textId="77777777">
      <w:pPr>
        <w:rPr>
          <w:b/>
          <w:bCs/>
        </w:rPr>
        <w:sectPr w:rsidSect="00DC66C7">
          <w:pgSz w:w="11906" w:h="16838"/>
          <w:pgMar w:top="710" w:right="1440" w:bottom="1276" w:left="1440" w:header="708" w:footer="708" w:gutter="0"/>
          <w:cols w:space="708"/>
          <w:docGrid w:linePitch="360"/>
        </w:sectPr>
      </w:pPr>
    </w:p>
    <w:p w:rsidR="008E27D0" w:rsidRPr="00B20FA6" w:rsidP="00C83BE8" w14:paraId="72BC6D00" w14:textId="5F1BFBCC">
      <w:pPr>
        <w:rPr>
          <w:b/>
          <w:bCs/>
        </w:rPr>
      </w:pPr>
      <w:r w:rsidRPr="00B20FA6">
        <w:rPr>
          <w:b/>
          <w:bCs/>
        </w:rPr>
        <w:t xml:space="preserve">Appendix </w:t>
      </w:r>
      <w:r w:rsidR="003A6C84">
        <w:rPr>
          <w:b/>
          <w:bCs/>
        </w:rPr>
        <w:t>3</w:t>
      </w:r>
      <w:r w:rsidRPr="00B20FA6">
        <w:rPr>
          <w:b/>
          <w:bCs/>
        </w:rPr>
        <w:t xml:space="preserve"> </w:t>
      </w:r>
      <w:r w:rsidRPr="00B20FA6" w:rsidR="003A6C84">
        <w:rPr>
          <w:b/>
          <w:bCs/>
        </w:rPr>
        <w:t xml:space="preserve">– </w:t>
      </w:r>
      <w:r w:rsidR="003A6C84">
        <w:rPr>
          <w:b/>
          <w:bCs/>
        </w:rPr>
        <w:t xml:space="preserve">Quarter </w:t>
      </w:r>
      <w:r w:rsidR="0082380B">
        <w:rPr>
          <w:b/>
          <w:bCs/>
        </w:rPr>
        <w:t>Two</w:t>
      </w:r>
      <w:r w:rsidR="003A6C84">
        <w:rPr>
          <w:b/>
          <w:bCs/>
        </w:rPr>
        <w:t xml:space="preserve"> </w:t>
      </w:r>
      <w:r w:rsidRPr="00B20FA6">
        <w:rPr>
          <w:b/>
          <w:bCs/>
        </w:rPr>
        <w:t xml:space="preserve">Community Hub Action Plans Delivery Summary </w:t>
      </w:r>
    </w:p>
    <w:p w:rsidR="008E27D0" w:rsidRPr="008B6F43" w:rsidP="008E27D0" w14:paraId="41AE8D24" w14:textId="77777777">
      <w:r w:rsidRPr="008B6F43">
        <w:t>Projects that have been successfully delivered include, but are not limited to:</w:t>
      </w:r>
    </w:p>
    <w:p w:rsidR="008B6F43" w:rsidRPr="008B6F43" w:rsidP="008B6F43" w14:paraId="4C03A9A5" w14:textId="316FC32A">
      <w:pPr>
        <w:pStyle w:val="ListParagraph"/>
        <w:numPr>
          <w:ilvl w:val="0"/>
          <w:numId w:val="11"/>
        </w:numPr>
      </w:pPr>
      <w:r w:rsidRPr="009A4F39">
        <w:rPr>
          <w:rFonts w:eastAsia="Calibri" w:cstheme="minorHAnsi"/>
          <w:b/>
          <w:color w:val="000000"/>
          <w:szCs w:val="32"/>
        </w:rPr>
        <w:t>Longton Live</w:t>
      </w:r>
      <w:r w:rsidRPr="008B6F43">
        <w:rPr>
          <w:rFonts w:eastAsia="Calibri" w:cstheme="minorHAnsi"/>
          <w:bCs/>
          <w:color w:val="000000"/>
          <w:szCs w:val="32"/>
        </w:rPr>
        <w:t xml:space="preserve"> – a success music event</w:t>
      </w:r>
      <w:r w:rsidR="00853B1A">
        <w:rPr>
          <w:rFonts w:eastAsia="Calibri" w:cstheme="minorHAnsi"/>
          <w:bCs/>
          <w:color w:val="000000"/>
          <w:szCs w:val="32"/>
        </w:rPr>
        <w:t xml:space="preserve"> was </w:t>
      </w:r>
      <w:r w:rsidRPr="008B6F43">
        <w:rPr>
          <w:rFonts w:eastAsia="Calibri" w:cstheme="minorHAnsi"/>
          <w:bCs/>
          <w:color w:val="000000"/>
          <w:szCs w:val="32"/>
        </w:rPr>
        <w:t>delivered over weekend of the 15</w:t>
      </w:r>
      <w:r w:rsidRPr="008B6F43">
        <w:rPr>
          <w:rFonts w:eastAsia="Calibri" w:cstheme="minorHAnsi"/>
          <w:bCs/>
          <w:color w:val="000000"/>
          <w:szCs w:val="32"/>
          <w:vertAlign w:val="superscript"/>
        </w:rPr>
        <w:t>th</w:t>
      </w:r>
      <w:r w:rsidRPr="008B6F43">
        <w:rPr>
          <w:rFonts w:eastAsia="Calibri" w:cstheme="minorHAnsi"/>
          <w:bCs/>
          <w:color w:val="000000"/>
          <w:szCs w:val="32"/>
        </w:rPr>
        <w:t xml:space="preserve"> and 16</w:t>
      </w:r>
      <w:r w:rsidRPr="008B6F43">
        <w:rPr>
          <w:rFonts w:eastAsia="Calibri" w:cstheme="minorHAnsi"/>
          <w:bCs/>
          <w:color w:val="000000"/>
          <w:szCs w:val="32"/>
          <w:vertAlign w:val="superscript"/>
        </w:rPr>
        <w:t>th</w:t>
      </w:r>
      <w:r w:rsidRPr="008B6F43">
        <w:rPr>
          <w:rFonts w:eastAsia="Calibri" w:cstheme="minorHAnsi"/>
          <w:bCs/>
          <w:color w:val="000000"/>
          <w:szCs w:val="32"/>
        </w:rPr>
        <w:t xml:space="preserve"> July</w:t>
      </w:r>
      <w:r w:rsidR="009A4F39">
        <w:rPr>
          <w:rFonts w:eastAsia="Calibri" w:cstheme="minorHAnsi"/>
          <w:bCs/>
          <w:color w:val="000000"/>
          <w:szCs w:val="32"/>
        </w:rPr>
        <w:t xml:space="preserve"> 2022</w:t>
      </w:r>
      <w:r w:rsidRPr="008B6F43">
        <w:rPr>
          <w:rFonts w:eastAsia="Calibri" w:cstheme="minorHAnsi"/>
          <w:bCs/>
          <w:color w:val="000000"/>
          <w:szCs w:val="32"/>
        </w:rPr>
        <w:t>. Positive feedback has been received from members, residents, and local businesses.</w:t>
      </w:r>
    </w:p>
    <w:p w:rsidR="008B6F43" w:rsidRPr="008B6F43" w:rsidP="008B6F43" w14:paraId="0658F60C" w14:textId="77777777">
      <w:pPr>
        <w:pStyle w:val="ListParagraph"/>
        <w:ind w:left="1080"/>
      </w:pPr>
    </w:p>
    <w:p w:rsidR="00C21450" w:rsidRPr="008B6F43" w:rsidP="008B6F43" w14:paraId="650D7A27" w14:textId="279EF3DB">
      <w:pPr>
        <w:pStyle w:val="ListParagraph"/>
        <w:numPr>
          <w:ilvl w:val="0"/>
          <w:numId w:val="11"/>
        </w:numPr>
      </w:pPr>
      <w:r w:rsidRPr="009A4F39">
        <w:rPr>
          <w:b/>
          <w:bCs/>
        </w:rPr>
        <w:t>Farington Fun Day</w:t>
      </w:r>
      <w:r w:rsidRPr="008B6F43">
        <w:t xml:space="preserve"> – a successful free to attend family fun day event held at Farington P</w:t>
      </w:r>
      <w:r w:rsidRPr="008B6F43">
        <w:t>ark on the 19th August. This event focused on equality and accessibility</w:t>
      </w:r>
      <w:r w:rsidRPr="00C21450">
        <w:t>, with a wide range of information stalls from charities and accessible activities.</w:t>
      </w:r>
    </w:p>
    <w:p w:rsidR="00C21450" w:rsidRPr="008B6F43" w:rsidP="008B6F43" w14:paraId="1C1C586D" w14:textId="77777777">
      <w:pPr>
        <w:pStyle w:val="ListParagraph"/>
        <w:ind w:left="1080"/>
      </w:pPr>
    </w:p>
    <w:p w:rsidR="008B6F43" w:rsidP="008B6F43" w14:paraId="0AAA4BDD" w14:textId="5B0C39C8">
      <w:pPr>
        <w:pStyle w:val="ListParagraph"/>
        <w:numPr>
          <w:ilvl w:val="0"/>
          <w:numId w:val="11"/>
        </w:numPr>
      </w:pPr>
      <w:r w:rsidRPr="009A4F39">
        <w:rPr>
          <w:b/>
          <w:bCs/>
        </w:rPr>
        <w:t>Christian Community Larder Premises</w:t>
      </w:r>
      <w:r w:rsidRPr="008B6F43">
        <w:t xml:space="preserve"> – funded through the Boost Fund and the Bamber Bridge, Lostock </w:t>
      </w:r>
      <w:r w:rsidRPr="008B6F43">
        <w:t>Hall and Walton-le-Dale Community Hub</w:t>
      </w:r>
      <w:r w:rsidR="009A4F39">
        <w:t>s</w:t>
      </w:r>
      <w:r w:rsidRPr="008B6F43">
        <w:t>, a converted shipping container has been successfully installed on the Church grounds. This has enabled the Brownedge Christians Together Foodbank to evolve into a community larder, with long-term sustainable premises</w:t>
      </w:r>
      <w:r w:rsidRPr="008B6F43">
        <w:t xml:space="preserve"> and potential to do much more for those they support. This includes transforming their current foodbank into a community shop model. </w:t>
      </w:r>
    </w:p>
    <w:p w:rsidR="008B6F43" w:rsidP="008B6F43" w14:paraId="5175DB44" w14:textId="77777777">
      <w:pPr>
        <w:pStyle w:val="ListParagraph"/>
      </w:pPr>
    </w:p>
    <w:p w:rsidR="008B6F43" w:rsidRPr="008B6F43" w:rsidP="008B6F43" w14:paraId="422D1EFF" w14:textId="7F11A384">
      <w:pPr>
        <w:pStyle w:val="ListParagraph"/>
        <w:numPr>
          <w:ilvl w:val="0"/>
          <w:numId w:val="11"/>
        </w:numPr>
      </w:pPr>
      <w:r w:rsidRPr="009A4F39">
        <w:rPr>
          <w:b/>
          <w:bCs/>
        </w:rPr>
        <w:t>Church Road Gardens Battle of Bamber Bridge Memorial</w:t>
      </w:r>
      <w:r w:rsidRPr="008B6F43">
        <w:t xml:space="preserve"> – the memorial project </w:t>
      </w:r>
      <w:r>
        <w:t>which has</w:t>
      </w:r>
      <w:r w:rsidRPr="008B6F43">
        <w:t xml:space="preserve"> been completed in partnership with Preston Black History Society. </w:t>
      </w:r>
      <w:r>
        <w:t>Th</w:t>
      </w:r>
      <w:r w:rsidR="009A4F39">
        <w:t>e</w:t>
      </w:r>
      <w:r>
        <w:t xml:space="preserve"> project has established a </w:t>
      </w:r>
      <w:r w:rsidRPr="008B6F43">
        <w:t xml:space="preserve">memorial garden with an information plinth outside the Hob Inn in Bamber Bridge. </w:t>
      </w:r>
      <w:r w:rsidRPr="008B6F43">
        <w:br/>
      </w:r>
    </w:p>
    <w:p w:rsidR="008B6F43" w:rsidRPr="008B6F43" w:rsidP="008B6F43" w14:paraId="580B01F0" w14:textId="152F4110">
      <w:pPr>
        <w:pStyle w:val="ListParagraph"/>
        <w:numPr>
          <w:ilvl w:val="0"/>
          <w:numId w:val="11"/>
        </w:numPr>
      </w:pPr>
      <w:r w:rsidRPr="009A4F39">
        <w:rPr>
          <w:b/>
          <w:bCs/>
        </w:rPr>
        <w:t>Love Where You Live Campaign (anti-litter and dog fouling</w:t>
      </w:r>
      <w:r w:rsidRPr="008B6F43">
        <w:t>) - The winning chi</w:t>
      </w:r>
      <w:r w:rsidRPr="008B6F43">
        <w:t xml:space="preserve">ldren’s entries from the </w:t>
      </w:r>
      <w:r w:rsidR="009A4F39">
        <w:t>‘</w:t>
      </w:r>
      <w:r w:rsidRPr="008B6F43">
        <w:t>Love Where You Live</w:t>
      </w:r>
      <w:r w:rsidR="009A4F39">
        <w:t>’</w:t>
      </w:r>
      <w:r w:rsidRPr="008B6F43">
        <w:t xml:space="preserve"> campaigns (in Leyland and Farington and Bamber Bridge, Lostock Hall, and Walton-le-Dale) have been printed as posters and banners and displayed in key locations such as play areas, parks and schools. </w:t>
      </w:r>
      <w:r w:rsidRPr="008B6F43">
        <w:br/>
      </w:r>
    </w:p>
    <w:p w:rsidR="00C21450" w:rsidP="008B6F43" w14:paraId="6EB75EB4" w14:textId="23E207FF">
      <w:pPr>
        <w:pStyle w:val="ListParagraph"/>
        <w:numPr>
          <w:ilvl w:val="0"/>
          <w:numId w:val="11"/>
        </w:numPr>
      </w:pPr>
      <w:r w:rsidRPr="009A4F39">
        <w:rPr>
          <w:b/>
          <w:bCs/>
        </w:rPr>
        <w:t>Broadfi</w:t>
      </w:r>
      <w:r w:rsidRPr="009A4F39">
        <w:rPr>
          <w:b/>
          <w:bCs/>
        </w:rPr>
        <w:t>eld Community Garden</w:t>
      </w:r>
      <w:r w:rsidRPr="008B6F43">
        <w:t xml:space="preserve"> – the second phase of this project has been on</w:t>
      </w:r>
      <w:r w:rsidR="009A4F39">
        <w:t>-</w:t>
      </w:r>
      <w:r w:rsidRPr="008B6F43">
        <w:t xml:space="preserve">going throughout </w:t>
      </w:r>
      <w:r>
        <w:t>the period</w:t>
      </w:r>
      <w:r w:rsidRPr="008B6F43">
        <w:t xml:space="preserve">. </w:t>
      </w:r>
      <w:r>
        <w:t>‘</w:t>
      </w:r>
      <w:r w:rsidRPr="008B6F43">
        <w:t>Let’s Grow Preston</w:t>
      </w:r>
      <w:r>
        <w:t>’</w:t>
      </w:r>
      <w:r w:rsidRPr="008B6F43">
        <w:t xml:space="preserve"> have been working with volunteers from the Broadfield area to clean up the site and make improvements. Funding from the Leyland and Faring</w:t>
      </w:r>
      <w:r w:rsidRPr="008B6F43">
        <w:t>ton Community Hub commission</w:t>
      </w:r>
      <w:r>
        <w:t>ed</w:t>
      </w:r>
      <w:r w:rsidRPr="008B6F43">
        <w:t xml:space="preserve"> </w:t>
      </w:r>
      <w:r>
        <w:t>‘</w:t>
      </w:r>
      <w:r w:rsidRPr="008B6F43">
        <w:t>Let’s Grow Preston</w:t>
      </w:r>
      <w:r>
        <w:t>’</w:t>
      </w:r>
      <w:r w:rsidRPr="008B6F43">
        <w:t xml:space="preserve"> to deliver supervised sessions until the end of October</w:t>
      </w:r>
      <w:r w:rsidR="009A4F39">
        <w:t xml:space="preserve"> 2022</w:t>
      </w:r>
      <w:r w:rsidRPr="008B6F43">
        <w:t xml:space="preserve">. </w:t>
      </w:r>
      <w:r>
        <w:t xml:space="preserve">Where </w:t>
      </w:r>
      <w:r w:rsidR="009A4F39">
        <w:t xml:space="preserve">the </w:t>
      </w:r>
      <w:r>
        <w:t>ownership of the garden will be transferred to ‘T</w:t>
      </w:r>
      <w:r w:rsidRPr="008B6F43">
        <w:t>he Base Community Centre</w:t>
      </w:r>
      <w:r>
        <w:t>’.</w:t>
      </w:r>
    </w:p>
    <w:sectPr w:rsidSect="001E4758">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00271"/>
    <w:multiLevelType w:val="hybridMultilevel"/>
    <w:tmpl w:val="8BCA5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9F3990"/>
    <w:multiLevelType w:val="hybridMultilevel"/>
    <w:tmpl w:val="AC5E0F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3382B09"/>
    <w:multiLevelType w:val="hybridMultilevel"/>
    <w:tmpl w:val="3BF8FE30"/>
    <w:lvl w:ilvl="0">
      <w:start w:val="1"/>
      <w:numFmt w:val="bullet"/>
      <w:lvlText w:val=""/>
      <w:lvlJc w:val="left"/>
      <w:pPr>
        <w:ind w:left="3970" w:hanging="360"/>
      </w:pPr>
      <w:rPr>
        <w:rFonts w:ascii="Symbol" w:hAnsi="Symbol" w:hint="default"/>
      </w:rPr>
    </w:lvl>
    <w:lvl w:ilvl="1" w:tentative="1">
      <w:start w:val="1"/>
      <w:numFmt w:val="bullet"/>
      <w:lvlText w:val="o"/>
      <w:lvlJc w:val="left"/>
      <w:pPr>
        <w:ind w:left="4690" w:hanging="360"/>
      </w:pPr>
      <w:rPr>
        <w:rFonts w:ascii="Courier New" w:hAnsi="Courier New" w:cs="Courier New" w:hint="default"/>
      </w:rPr>
    </w:lvl>
    <w:lvl w:ilvl="2" w:tentative="1">
      <w:start w:val="1"/>
      <w:numFmt w:val="bullet"/>
      <w:lvlText w:val=""/>
      <w:lvlJc w:val="left"/>
      <w:pPr>
        <w:ind w:left="5410" w:hanging="360"/>
      </w:pPr>
      <w:rPr>
        <w:rFonts w:ascii="Wingdings" w:hAnsi="Wingdings" w:hint="default"/>
      </w:rPr>
    </w:lvl>
    <w:lvl w:ilvl="3" w:tentative="1">
      <w:start w:val="1"/>
      <w:numFmt w:val="bullet"/>
      <w:lvlText w:val=""/>
      <w:lvlJc w:val="left"/>
      <w:pPr>
        <w:ind w:left="6130" w:hanging="360"/>
      </w:pPr>
      <w:rPr>
        <w:rFonts w:ascii="Symbol" w:hAnsi="Symbol" w:hint="default"/>
      </w:rPr>
    </w:lvl>
    <w:lvl w:ilvl="4" w:tentative="1">
      <w:start w:val="1"/>
      <w:numFmt w:val="bullet"/>
      <w:lvlText w:val="o"/>
      <w:lvlJc w:val="left"/>
      <w:pPr>
        <w:ind w:left="6850" w:hanging="360"/>
      </w:pPr>
      <w:rPr>
        <w:rFonts w:ascii="Courier New" w:hAnsi="Courier New" w:cs="Courier New" w:hint="default"/>
      </w:rPr>
    </w:lvl>
    <w:lvl w:ilvl="5" w:tentative="1">
      <w:start w:val="1"/>
      <w:numFmt w:val="bullet"/>
      <w:lvlText w:val=""/>
      <w:lvlJc w:val="left"/>
      <w:pPr>
        <w:ind w:left="7570" w:hanging="360"/>
      </w:pPr>
      <w:rPr>
        <w:rFonts w:ascii="Wingdings" w:hAnsi="Wingdings" w:hint="default"/>
      </w:rPr>
    </w:lvl>
    <w:lvl w:ilvl="6" w:tentative="1">
      <w:start w:val="1"/>
      <w:numFmt w:val="bullet"/>
      <w:lvlText w:val=""/>
      <w:lvlJc w:val="left"/>
      <w:pPr>
        <w:ind w:left="8290" w:hanging="360"/>
      </w:pPr>
      <w:rPr>
        <w:rFonts w:ascii="Symbol" w:hAnsi="Symbol" w:hint="default"/>
      </w:rPr>
    </w:lvl>
    <w:lvl w:ilvl="7" w:tentative="1">
      <w:start w:val="1"/>
      <w:numFmt w:val="bullet"/>
      <w:lvlText w:val="o"/>
      <w:lvlJc w:val="left"/>
      <w:pPr>
        <w:ind w:left="9010" w:hanging="360"/>
      </w:pPr>
      <w:rPr>
        <w:rFonts w:ascii="Courier New" w:hAnsi="Courier New" w:cs="Courier New" w:hint="default"/>
      </w:rPr>
    </w:lvl>
    <w:lvl w:ilvl="8" w:tentative="1">
      <w:start w:val="1"/>
      <w:numFmt w:val="bullet"/>
      <w:lvlText w:val=""/>
      <w:lvlJc w:val="left"/>
      <w:pPr>
        <w:ind w:left="9730" w:hanging="360"/>
      </w:pPr>
      <w:rPr>
        <w:rFonts w:ascii="Wingdings" w:hAnsi="Wingdings" w:hint="default"/>
      </w:rPr>
    </w:lvl>
  </w:abstractNum>
  <w:abstractNum w:abstractNumId="3">
    <w:nsid w:val="07E91EDE"/>
    <w:multiLevelType w:val="hybridMultilevel"/>
    <w:tmpl w:val="DB92249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08136415"/>
    <w:multiLevelType w:val="hybridMultilevel"/>
    <w:tmpl w:val="6ADE3D6A"/>
    <w:lvl w:ilvl="0">
      <w:start w:val="1"/>
      <w:numFmt w:val="decimal"/>
      <w:lvlText w:val="%1."/>
      <w:lvlJc w:val="left"/>
      <w:pPr>
        <w:ind w:left="360" w:hanging="360"/>
      </w:pPr>
      <w:rPr>
        <w:rFonts w:ascii="Arial" w:hAnsi="Arial" w:hint="default"/>
        <w:b w:val="0"/>
        <w:bCs w:val="0"/>
        <w:i w:val="0"/>
        <w:color w:val="auto"/>
        <w:sz w:val="22"/>
        <w:szCs w:val="22"/>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ECC62FB"/>
    <w:multiLevelType w:val="hybridMultilevel"/>
    <w:tmpl w:val="16506A4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121201CA"/>
    <w:multiLevelType w:val="hybridMultilevel"/>
    <w:tmpl w:val="A5EA6F1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121A24B0"/>
    <w:multiLevelType w:val="hybridMultilevel"/>
    <w:tmpl w:val="109697D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29A535F"/>
    <w:multiLevelType w:val="hybridMultilevel"/>
    <w:tmpl w:val="508C594E"/>
    <w:lvl w:ilvl="0">
      <w:start w:val="0"/>
      <w:numFmt w:val="bullet"/>
      <w:lvlText w:val=""/>
      <w:lvlJc w:val="left"/>
      <w:pPr>
        <w:ind w:left="720" w:hanging="360"/>
      </w:pPr>
      <w:rPr>
        <w:rFonts w:ascii="Symbol" w:eastAsia="Calibri"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3EA32F4"/>
    <w:multiLevelType w:val="hybridMultilevel"/>
    <w:tmpl w:val="E1CE32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BA1783"/>
    <w:multiLevelType w:val="hybridMultilevel"/>
    <w:tmpl w:val="76DE91A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1">
    <w:nsid w:val="20297382"/>
    <w:multiLevelType w:val="hybridMultilevel"/>
    <w:tmpl w:val="96EC42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0645C58"/>
    <w:multiLevelType w:val="hybridMultilevel"/>
    <w:tmpl w:val="5E06A12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3">
    <w:nsid w:val="223D412F"/>
    <w:multiLevelType w:val="hybridMultilevel"/>
    <w:tmpl w:val="B6FA40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4311F09"/>
    <w:multiLevelType w:val="hybridMultilevel"/>
    <w:tmpl w:val="829E6C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6C46DA3"/>
    <w:multiLevelType w:val="hybridMultilevel"/>
    <w:tmpl w:val="BB44A5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326AE9"/>
    <w:multiLevelType w:val="hybridMultilevel"/>
    <w:tmpl w:val="5F3608E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7">
    <w:nsid w:val="38A311A9"/>
    <w:multiLevelType w:val="hybridMultilevel"/>
    <w:tmpl w:val="59187C92"/>
    <w:lvl w:ilvl="0">
      <w:start w:va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F6E2E02"/>
    <w:multiLevelType w:val="hybridMultilevel"/>
    <w:tmpl w:val="5D563024"/>
    <w:lvl w:ilvl="0">
      <w:start w:val="797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30F6191"/>
    <w:multiLevelType w:val="hybridMultilevel"/>
    <w:tmpl w:val="9670B26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48261C3"/>
    <w:multiLevelType w:val="hybridMultilevel"/>
    <w:tmpl w:val="710EA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D44C4C"/>
    <w:multiLevelType w:val="hybridMultilevel"/>
    <w:tmpl w:val="93F4A5F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2">
    <w:nsid w:val="47E149D5"/>
    <w:multiLevelType w:val="hybridMultilevel"/>
    <w:tmpl w:val="85A0D95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3">
    <w:nsid w:val="4D410C0B"/>
    <w:multiLevelType w:val="hybridMultilevel"/>
    <w:tmpl w:val="79C891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DC24CDE"/>
    <w:multiLevelType w:val="hybridMultilevel"/>
    <w:tmpl w:val="DE3C269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nsid w:val="4DC95612"/>
    <w:multiLevelType w:val="hybridMultilevel"/>
    <w:tmpl w:val="94B8D9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0DF4FB5"/>
    <w:multiLevelType w:val="hybridMultilevel"/>
    <w:tmpl w:val="8E6669B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6303929"/>
    <w:multiLevelType w:val="hybridMultilevel"/>
    <w:tmpl w:val="A19AF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8561456"/>
    <w:multiLevelType w:val="hybridMultilevel"/>
    <w:tmpl w:val="99FC01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5A4E234F"/>
    <w:multiLevelType w:val="hybridMultilevel"/>
    <w:tmpl w:val="97F8B34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0">
    <w:nsid w:val="5C921C7F"/>
    <w:multiLevelType w:val="hybridMultilevel"/>
    <w:tmpl w:val="E8BE737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1">
    <w:nsid w:val="5EBF00E5"/>
    <w:multiLevelType w:val="hybridMultilevel"/>
    <w:tmpl w:val="448031FE"/>
    <w:lvl w:ilvl="0">
      <w:start w:val="1"/>
      <w:numFmt w:val="decimal"/>
      <w:lvlText w:val="%1."/>
      <w:lvlJc w:val="left"/>
      <w:pPr>
        <w:ind w:left="360" w:hanging="360"/>
      </w:pPr>
      <w:rPr>
        <w:rFonts w:ascii="Arial" w:hAnsi="Arial" w:hint="default"/>
        <w:b w:val="0"/>
        <w:bCs w:val="0"/>
        <w:i w:val="0"/>
        <w:color w:val="auto"/>
        <w:sz w:val="22"/>
        <w:szCs w:val="22"/>
      </w:rPr>
    </w:lvl>
    <w:lvl w:ilvl="1">
      <w:start w:val="1"/>
      <w:numFmt w:val="bullet"/>
      <w:lvlText w:val=""/>
      <w:lvlJc w:val="left"/>
      <w:pPr>
        <w:ind w:left="1080" w:hanging="360"/>
      </w:pPr>
      <w:rPr>
        <w:rFonts w:ascii="Wingdings 3" w:hAnsi="Wingdings 3"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04908FB"/>
    <w:multiLevelType w:val="hybridMultilevel"/>
    <w:tmpl w:val="6798C57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3">
    <w:nsid w:val="71CD0F35"/>
    <w:multiLevelType w:val="hybridMultilevel"/>
    <w:tmpl w:val="3092AD0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4">
    <w:nsid w:val="73456CC9"/>
    <w:multiLevelType w:val="hybridMultilevel"/>
    <w:tmpl w:val="EEEA1102"/>
    <w:lvl w:ilvl="0">
      <w:start w:val="1"/>
      <w:numFmt w:val="bullet"/>
      <w:lvlText w:val=""/>
      <w:lvlJc w:val="left"/>
      <w:pPr>
        <w:ind w:left="1974" w:hanging="360"/>
      </w:pPr>
      <w:rPr>
        <w:rFonts w:ascii="Symbol" w:hAnsi="Symbol" w:hint="default"/>
      </w:rPr>
    </w:lvl>
    <w:lvl w:ilvl="1" w:tentative="1">
      <w:start w:val="1"/>
      <w:numFmt w:val="bullet"/>
      <w:lvlText w:val="o"/>
      <w:lvlJc w:val="left"/>
      <w:pPr>
        <w:ind w:left="2694" w:hanging="360"/>
      </w:pPr>
      <w:rPr>
        <w:rFonts w:ascii="Courier New" w:hAnsi="Courier New" w:cs="Courier New" w:hint="default"/>
      </w:rPr>
    </w:lvl>
    <w:lvl w:ilvl="2" w:tentative="1">
      <w:start w:val="1"/>
      <w:numFmt w:val="bullet"/>
      <w:lvlText w:val=""/>
      <w:lvlJc w:val="left"/>
      <w:pPr>
        <w:ind w:left="3414" w:hanging="360"/>
      </w:pPr>
      <w:rPr>
        <w:rFonts w:ascii="Wingdings" w:hAnsi="Wingdings" w:hint="default"/>
      </w:rPr>
    </w:lvl>
    <w:lvl w:ilvl="3" w:tentative="1">
      <w:start w:val="1"/>
      <w:numFmt w:val="bullet"/>
      <w:lvlText w:val=""/>
      <w:lvlJc w:val="left"/>
      <w:pPr>
        <w:ind w:left="4134" w:hanging="360"/>
      </w:pPr>
      <w:rPr>
        <w:rFonts w:ascii="Symbol" w:hAnsi="Symbol" w:hint="default"/>
      </w:rPr>
    </w:lvl>
    <w:lvl w:ilvl="4" w:tentative="1">
      <w:start w:val="1"/>
      <w:numFmt w:val="bullet"/>
      <w:lvlText w:val="o"/>
      <w:lvlJc w:val="left"/>
      <w:pPr>
        <w:ind w:left="4854" w:hanging="360"/>
      </w:pPr>
      <w:rPr>
        <w:rFonts w:ascii="Courier New" w:hAnsi="Courier New" w:cs="Courier New" w:hint="default"/>
      </w:rPr>
    </w:lvl>
    <w:lvl w:ilvl="5" w:tentative="1">
      <w:start w:val="1"/>
      <w:numFmt w:val="bullet"/>
      <w:lvlText w:val=""/>
      <w:lvlJc w:val="left"/>
      <w:pPr>
        <w:ind w:left="5574" w:hanging="360"/>
      </w:pPr>
      <w:rPr>
        <w:rFonts w:ascii="Wingdings" w:hAnsi="Wingdings" w:hint="default"/>
      </w:rPr>
    </w:lvl>
    <w:lvl w:ilvl="6" w:tentative="1">
      <w:start w:val="1"/>
      <w:numFmt w:val="bullet"/>
      <w:lvlText w:val=""/>
      <w:lvlJc w:val="left"/>
      <w:pPr>
        <w:ind w:left="6294" w:hanging="360"/>
      </w:pPr>
      <w:rPr>
        <w:rFonts w:ascii="Symbol" w:hAnsi="Symbol" w:hint="default"/>
      </w:rPr>
    </w:lvl>
    <w:lvl w:ilvl="7" w:tentative="1">
      <w:start w:val="1"/>
      <w:numFmt w:val="bullet"/>
      <w:lvlText w:val="o"/>
      <w:lvlJc w:val="left"/>
      <w:pPr>
        <w:ind w:left="7014" w:hanging="360"/>
      </w:pPr>
      <w:rPr>
        <w:rFonts w:ascii="Courier New" w:hAnsi="Courier New" w:cs="Courier New" w:hint="default"/>
      </w:rPr>
    </w:lvl>
    <w:lvl w:ilvl="8" w:tentative="1">
      <w:start w:val="1"/>
      <w:numFmt w:val="bullet"/>
      <w:lvlText w:val=""/>
      <w:lvlJc w:val="left"/>
      <w:pPr>
        <w:ind w:left="7734" w:hanging="360"/>
      </w:pPr>
      <w:rPr>
        <w:rFonts w:ascii="Wingdings" w:hAnsi="Wingdings" w:hint="default"/>
      </w:rPr>
    </w:lvl>
  </w:abstractNum>
  <w:abstractNum w:abstractNumId="35">
    <w:nsid w:val="73B8260E"/>
    <w:multiLevelType w:val="hybridMultilevel"/>
    <w:tmpl w:val="436C02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9D41B58"/>
    <w:multiLevelType w:val="hybridMultilevel"/>
    <w:tmpl w:val="593827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B9F5124"/>
    <w:multiLevelType w:val="hybridMultilevel"/>
    <w:tmpl w:val="13F87F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EE601C4"/>
    <w:multiLevelType w:val="hybridMultilevel"/>
    <w:tmpl w:val="C19406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1"/>
  </w:num>
  <w:num w:numId="2">
    <w:abstractNumId w:val="3"/>
  </w:num>
  <w:num w:numId="3">
    <w:abstractNumId w:val="32"/>
  </w:num>
  <w:num w:numId="4">
    <w:abstractNumId w:val="34"/>
  </w:num>
  <w:num w:numId="5">
    <w:abstractNumId w:val="30"/>
  </w:num>
  <w:num w:numId="6">
    <w:abstractNumId w:val="6"/>
  </w:num>
  <w:num w:numId="7">
    <w:abstractNumId w:val="10"/>
  </w:num>
  <w:num w:numId="8">
    <w:abstractNumId w:val="24"/>
  </w:num>
  <w:num w:numId="9">
    <w:abstractNumId w:val="25"/>
  </w:num>
  <w:num w:numId="10">
    <w:abstractNumId w:val="21"/>
  </w:num>
  <w:num w:numId="11">
    <w:abstractNumId w:val="11"/>
  </w:num>
  <w:num w:numId="12">
    <w:abstractNumId w:val="19"/>
  </w:num>
  <w:num w:numId="13">
    <w:abstractNumId w:val="28"/>
  </w:num>
  <w:num w:numId="14">
    <w:abstractNumId w:val="29"/>
  </w:num>
  <w:num w:numId="15">
    <w:abstractNumId w:val="37"/>
  </w:num>
  <w:num w:numId="16">
    <w:abstractNumId w:val="16"/>
  </w:num>
  <w:num w:numId="17">
    <w:abstractNumId w:val="12"/>
  </w:num>
  <w:num w:numId="18">
    <w:abstractNumId w:val="2"/>
  </w:num>
  <w:num w:numId="19">
    <w:abstractNumId w:val="7"/>
  </w:num>
  <w:num w:numId="20">
    <w:abstractNumId w:val="26"/>
  </w:num>
  <w:num w:numId="21">
    <w:abstractNumId w:val="15"/>
  </w:num>
  <w:num w:numId="22">
    <w:abstractNumId w:val="38"/>
  </w:num>
  <w:num w:numId="23">
    <w:abstractNumId w:val="0"/>
  </w:num>
  <w:num w:numId="24">
    <w:abstractNumId w:val="20"/>
  </w:num>
  <w:num w:numId="25">
    <w:abstractNumId w:val="35"/>
  </w:num>
  <w:num w:numId="26">
    <w:abstractNumId w:val="36"/>
  </w:num>
  <w:num w:numId="27">
    <w:abstractNumId w:val="1"/>
  </w:num>
  <w:num w:numId="28">
    <w:abstractNumId w:val="4"/>
  </w:num>
  <w:num w:numId="29">
    <w:abstractNumId w:val="27"/>
  </w:num>
  <w:num w:numId="30">
    <w:abstractNumId w:val="8"/>
  </w:num>
  <w:num w:numId="31">
    <w:abstractNumId w:val="18"/>
  </w:num>
  <w:num w:numId="32">
    <w:abstractNumId w:val="22"/>
  </w:num>
  <w:num w:numId="33">
    <w:abstractNumId w:val="14"/>
  </w:num>
  <w:num w:numId="34">
    <w:abstractNumId w:val="9"/>
  </w:num>
  <w:num w:numId="35">
    <w:abstractNumId w:val="5"/>
  </w:num>
  <w:num w:numId="36">
    <w:abstractNumId w:val="33"/>
  </w:num>
  <w:num w:numId="37">
    <w:abstractNumId w:val="17"/>
  </w:num>
  <w:num w:numId="38">
    <w:abstractNumId w:val="23"/>
  </w:num>
  <w:num w:numId="39">
    <w:abstractNumId w:val="13"/>
  </w:num>
  <w:num w:numId="4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7D"/>
    <w:rsid w:val="00002C2F"/>
    <w:rsid w:val="000038C4"/>
    <w:rsid w:val="00010B8D"/>
    <w:rsid w:val="00011255"/>
    <w:rsid w:val="000179AF"/>
    <w:rsid w:val="00017C72"/>
    <w:rsid w:val="000224C0"/>
    <w:rsid w:val="00022EBB"/>
    <w:rsid w:val="000242E8"/>
    <w:rsid w:val="0002450D"/>
    <w:rsid w:val="00024C53"/>
    <w:rsid w:val="00037EAD"/>
    <w:rsid w:val="00041C94"/>
    <w:rsid w:val="00046494"/>
    <w:rsid w:val="00046AAE"/>
    <w:rsid w:val="00047A30"/>
    <w:rsid w:val="00052CB0"/>
    <w:rsid w:val="00053232"/>
    <w:rsid w:val="0005372B"/>
    <w:rsid w:val="00056D04"/>
    <w:rsid w:val="00057CD6"/>
    <w:rsid w:val="00060007"/>
    <w:rsid w:val="00061577"/>
    <w:rsid w:val="0006284E"/>
    <w:rsid w:val="00064803"/>
    <w:rsid w:val="0006548E"/>
    <w:rsid w:val="00065EE4"/>
    <w:rsid w:val="00066C17"/>
    <w:rsid w:val="000709D7"/>
    <w:rsid w:val="00071019"/>
    <w:rsid w:val="00071A42"/>
    <w:rsid w:val="00072209"/>
    <w:rsid w:val="00075F84"/>
    <w:rsid w:val="0007651C"/>
    <w:rsid w:val="00076CE1"/>
    <w:rsid w:val="00080216"/>
    <w:rsid w:val="00080F55"/>
    <w:rsid w:val="00081971"/>
    <w:rsid w:val="00083D78"/>
    <w:rsid w:val="000864EF"/>
    <w:rsid w:val="000868F4"/>
    <w:rsid w:val="00086C0F"/>
    <w:rsid w:val="0008730B"/>
    <w:rsid w:val="00091865"/>
    <w:rsid w:val="000925BF"/>
    <w:rsid w:val="00092998"/>
    <w:rsid w:val="000956B3"/>
    <w:rsid w:val="000A503B"/>
    <w:rsid w:val="000B0F35"/>
    <w:rsid w:val="000B1751"/>
    <w:rsid w:val="000B2C94"/>
    <w:rsid w:val="000B45C8"/>
    <w:rsid w:val="000B60E9"/>
    <w:rsid w:val="000B618D"/>
    <w:rsid w:val="000B6D80"/>
    <w:rsid w:val="000B723C"/>
    <w:rsid w:val="000C0446"/>
    <w:rsid w:val="000C1358"/>
    <w:rsid w:val="000C3D44"/>
    <w:rsid w:val="000C49F6"/>
    <w:rsid w:val="000C64F5"/>
    <w:rsid w:val="000C69E1"/>
    <w:rsid w:val="000C6BB8"/>
    <w:rsid w:val="000D2978"/>
    <w:rsid w:val="000D2E4F"/>
    <w:rsid w:val="000E1D5C"/>
    <w:rsid w:val="000E38D3"/>
    <w:rsid w:val="000E38D9"/>
    <w:rsid w:val="000F163F"/>
    <w:rsid w:val="000F40A9"/>
    <w:rsid w:val="000F78FD"/>
    <w:rsid w:val="00102C9D"/>
    <w:rsid w:val="0010398C"/>
    <w:rsid w:val="00104E7D"/>
    <w:rsid w:val="001073DC"/>
    <w:rsid w:val="00120F75"/>
    <w:rsid w:val="00122F9D"/>
    <w:rsid w:val="0013107C"/>
    <w:rsid w:val="00131699"/>
    <w:rsid w:val="0013174D"/>
    <w:rsid w:val="00141C95"/>
    <w:rsid w:val="001445FC"/>
    <w:rsid w:val="0014504B"/>
    <w:rsid w:val="00145AF0"/>
    <w:rsid w:val="0014668B"/>
    <w:rsid w:val="00150766"/>
    <w:rsid w:val="00151BA4"/>
    <w:rsid w:val="00152473"/>
    <w:rsid w:val="0016586F"/>
    <w:rsid w:val="00177E8D"/>
    <w:rsid w:val="001833E4"/>
    <w:rsid w:val="0018682D"/>
    <w:rsid w:val="00186E5D"/>
    <w:rsid w:val="00190835"/>
    <w:rsid w:val="00194925"/>
    <w:rsid w:val="00194BEB"/>
    <w:rsid w:val="001A08BE"/>
    <w:rsid w:val="001A117C"/>
    <w:rsid w:val="001A14D4"/>
    <w:rsid w:val="001A2F88"/>
    <w:rsid w:val="001A3941"/>
    <w:rsid w:val="001A4ECB"/>
    <w:rsid w:val="001A5221"/>
    <w:rsid w:val="001A6A50"/>
    <w:rsid w:val="001B026A"/>
    <w:rsid w:val="001B0533"/>
    <w:rsid w:val="001C21FA"/>
    <w:rsid w:val="001C2DEF"/>
    <w:rsid w:val="001C33A3"/>
    <w:rsid w:val="001C34C2"/>
    <w:rsid w:val="001C3744"/>
    <w:rsid w:val="001C5953"/>
    <w:rsid w:val="001D2EA5"/>
    <w:rsid w:val="001D43D2"/>
    <w:rsid w:val="001D5F9D"/>
    <w:rsid w:val="001E07E6"/>
    <w:rsid w:val="001E1416"/>
    <w:rsid w:val="001E18E6"/>
    <w:rsid w:val="001E4758"/>
    <w:rsid w:val="001E73E2"/>
    <w:rsid w:val="001E75F0"/>
    <w:rsid w:val="001E7EAC"/>
    <w:rsid w:val="001F409C"/>
    <w:rsid w:val="001F5A07"/>
    <w:rsid w:val="001F5DF7"/>
    <w:rsid w:val="001F685A"/>
    <w:rsid w:val="001F7C3F"/>
    <w:rsid w:val="002001C6"/>
    <w:rsid w:val="00201F8E"/>
    <w:rsid w:val="00203EEA"/>
    <w:rsid w:val="002064BE"/>
    <w:rsid w:val="0020712A"/>
    <w:rsid w:val="002106AC"/>
    <w:rsid w:val="002136D6"/>
    <w:rsid w:val="00213F8A"/>
    <w:rsid w:val="00215323"/>
    <w:rsid w:val="00215581"/>
    <w:rsid w:val="00216BF3"/>
    <w:rsid w:val="00226988"/>
    <w:rsid w:val="00227F92"/>
    <w:rsid w:val="0023634A"/>
    <w:rsid w:val="00236C0E"/>
    <w:rsid w:val="00240A13"/>
    <w:rsid w:val="002440DC"/>
    <w:rsid w:val="0024477E"/>
    <w:rsid w:val="00245533"/>
    <w:rsid w:val="002460E6"/>
    <w:rsid w:val="0025620C"/>
    <w:rsid w:val="002566EF"/>
    <w:rsid w:val="00257350"/>
    <w:rsid w:val="00257CA1"/>
    <w:rsid w:val="00262788"/>
    <w:rsid w:val="00264063"/>
    <w:rsid w:val="00264A89"/>
    <w:rsid w:val="0026607B"/>
    <w:rsid w:val="0027069D"/>
    <w:rsid w:val="00277B99"/>
    <w:rsid w:val="00280937"/>
    <w:rsid w:val="002810F1"/>
    <w:rsid w:val="00284B42"/>
    <w:rsid w:val="00284E95"/>
    <w:rsid w:val="00286942"/>
    <w:rsid w:val="00286FED"/>
    <w:rsid w:val="002877D2"/>
    <w:rsid w:val="00287B68"/>
    <w:rsid w:val="00291BA4"/>
    <w:rsid w:val="00291E16"/>
    <w:rsid w:val="0029245A"/>
    <w:rsid w:val="00292BEA"/>
    <w:rsid w:val="00293A0A"/>
    <w:rsid w:val="00297C63"/>
    <w:rsid w:val="002A007C"/>
    <w:rsid w:val="002A09CF"/>
    <w:rsid w:val="002A4A7D"/>
    <w:rsid w:val="002A5723"/>
    <w:rsid w:val="002A5EA8"/>
    <w:rsid w:val="002A721E"/>
    <w:rsid w:val="002B0543"/>
    <w:rsid w:val="002B087D"/>
    <w:rsid w:val="002B08E8"/>
    <w:rsid w:val="002B147A"/>
    <w:rsid w:val="002B19C5"/>
    <w:rsid w:val="002B5352"/>
    <w:rsid w:val="002B6BD7"/>
    <w:rsid w:val="002B78A6"/>
    <w:rsid w:val="002C01C3"/>
    <w:rsid w:val="002C215C"/>
    <w:rsid w:val="002C21F9"/>
    <w:rsid w:val="002C28EA"/>
    <w:rsid w:val="002C5B91"/>
    <w:rsid w:val="002C6ADC"/>
    <w:rsid w:val="002C7420"/>
    <w:rsid w:val="002D02BA"/>
    <w:rsid w:val="002D23E5"/>
    <w:rsid w:val="002D7EBA"/>
    <w:rsid w:val="002E325C"/>
    <w:rsid w:val="002E3FA6"/>
    <w:rsid w:val="002E7378"/>
    <w:rsid w:val="002E7963"/>
    <w:rsid w:val="002F25BE"/>
    <w:rsid w:val="002F55D0"/>
    <w:rsid w:val="002F645E"/>
    <w:rsid w:val="003012FD"/>
    <w:rsid w:val="00301487"/>
    <w:rsid w:val="003014A8"/>
    <w:rsid w:val="00301C53"/>
    <w:rsid w:val="00310322"/>
    <w:rsid w:val="00313944"/>
    <w:rsid w:val="00314B30"/>
    <w:rsid w:val="00317366"/>
    <w:rsid w:val="00323784"/>
    <w:rsid w:val="0033069F"/>
    <w:rsid w:val="00332EE0"/>
    <w:rsid w:val="00333B8F"/>
    <w:rsid w:val="00335A52"/>
    <w:rsid w:val="00337F54"/>
    <w:rsid w:val="00341E9F"/>
    <w:rsid w:val="0034343B"/>
    <w:rsid w:val="003457A6"/>
    <w:rsid w:val="00346584"/>
    <w:rsid w:val="00351CD5"/>
    <w:rsid w:val="00353B43"/>
    <w:rsid w:val="00360618"/>
    <w:rsid w:val="00361A26"/>
    <w:rsid w:val="003622A3"/>
    <w:rsid w:val="003629B3"/>
    <w:rsid w:val="00363106"/>
    <w:rsid w:val="003647F9"/>
    <w:rsid w:val="00374026"/>
    <w:rsid w:val="0037454B"/>
    <w:rsid w:val="00374886"/>
    <w:rsid w:val="00374EB7"/>
    <w:rsid w:val="00376744"/>
    <w:rsid w:val="00380251"/>
    <w:rsid w:val="00380EF5"/>
    <w:rsid w:val="00382D6D"/>
    <w:rsid w:val="00383056"/>
    <w:rsid w:val="003847A0"/>
    <w:rsid w:val="0038567A"/>
    <w:rsid w:val="00387D0B"/>
    <w:rsid w:val="00387D12"/>
    <w:rsid w:val="00391D06"/>
    <w:rsid w:val="00392FA0"/>
    <w:rsid w:val="003931AA"/>
    <w:rsid w:val="003A18AC"/>
    <w:rsid w:val="003A2269"/>
    <w:rsid w:val="003A2C41"/>
    <w:rsid w:val="003A4818"/>
    <w:rsid w:val="003A4A8D"/>
    <w:rsid w:val="003A6A3C"/>
    <w:rsid w:val="003A6C84"/>
    <w:rsid w:val="003B3C0F"/>
    <w:rsid w:val="003B3E46"/>
    <w:rsid w:val="003C20C5"/>
    <w:rsid w:val="003C6B0E"/>
    <w:rsid w:val="003C715C"/>
    <w:rsid w:val="003D37DF"/>
    <w:rsid w:val="003D3D8D"/>
    <w:rsid w:val="003D56E2"/>
    <w:rsid w:val="003D5F0A"/>
    <w:rsid w:val="003D6F2C"/>
    <w:rsid w:val="003D6F84"/>
    <w:rsid w:val="003D7A1C"/>
    <w:rsid w:val="003E0E70"/>
    <w:rsid w:val="003E2A47"/>
    <w:rsid w:val="003E3722"/>
    <w:rsid w:val="003E43A3"/>
    <w:rsid w:val="003E4BC2"/>
    <w:rsid w:val="003E561F"/>
    <w:rsid w:val="003F018D"/>
    <w:rsid w:val="003F121D"/>
    <w:rsid w:val="00403482"/>
    <w:rsid w:val="00405C25"/>
    <w:rsid w:val="00406251"/>
    <w:rsid w:val="0041406D"/>
    <w:rsid w:val="00414CD5"/>
    <w:rsid w:val="00416629"/>
    <w:rsid w:val="0042578B"/>
    <w:rsid w:val="00426D10"/>
    <w:rsid w:val="00426DBC"/>
    <w:rsid w:val="00430D84"/>
    <w:rsid w:val="00430F2D"/>
    <w:rsid w:val="004315BF"/>
    <w:rsid w:val="004345C1"/>
    <w:rsid w:val="00434F99"/>
    <w:rsid w:val="00435ABA"/>
    <w:rsid w:val="00435AD9"/>
    <w:rsid w:val="0043675B"/>
    <w:rsid w:val="00436D1E"/>
    <w:rsid w:val="004372BB"/>
    <w:rsid w:val="00442FB3"/>
    <w:rsid w:val="00445851"/>
    <w:rsid w:val="00447A6C"/>
    <w:rsid w:val="004526FE"/>
    <w:rsid w:val="00452896"/>
    <w:rsid w:val="0045484A"/>
    <w:rsid w:val="00460CAC"/>
    <w:rsid w:val="00460D79"/>
    <w:rsid w:val="00460E5E"/>
    <w:rsid w:val="00465AEE"/>
    <w:rsid w:val="00467DE7"/>
    <w:rsid w:val="00470C71"/>
    <w:rsid w:val="004758E2"/>
    <w:rsid w:val="0047603A"/>
    <w:rsid w:val="00477164"/>
    <w:rsid w:val="00480082"/>
    <w:rsid w:val="00480A29"/>
    <w:rsid w:val="00482AEC"/>
    <w:rsid w:val="00486C87"/>
    <w:rsid w:val="004923C5"/>
    <w:rsid w:val="00493CC9"/>
    <w:rsid w:val="00493E90"/>
    <w:rsid w:val="00494741"/>
    <w:rsid w:val="004A4A67"/>
    <w:rsid w:val="004A5B5B"/>
    <w:rsid w:val="004A62BD"/>
    <w:rsid w:val="004A6524"/>
    <w:rsid w:val="004B26AC"/>
    <w:rsid w:val="004C27A8"/>
    <w:rsid w:val="004C2D80"/>
    <w:rsid w:val="004C5702"/>
    <w:rsid w:val="004D1982"/>
    <w:rsid w:val="004D24D4"/>
    <w:rsid w:val="004D550B"/>
    <w:rsid w:val="004D60AA"/>
    <w:rsid w:val="004E193B"/>
    <w:rsid w:val="004E68B2"/>
    <w:rsid w:val="00504212"/>
    <w:rsid w:val="00506F5E"/>
    <w:rsid w:val="00512B02"/>
    <w:rsid w:val="0051426E"/>
    <w:rsid w:val="00514605"/>
    <w:rsid w:val="005152D2"/>
    <w:rsid w:val="00517AC2"/>
    <w:rsid w:val="005260E8"/>
    <w:rsid w:val="005264BC"/>
    <w:rsid w:val="00526A7C"/>
    <w:rsid w:val="00530E0A"/>
    <w:rsid w:val="0053102B"/>
    <w:rsid w:val="005311B1"/>
    <w:rsid w:val="0053274F"/>
    <w:rsid w:val="0053295F"/>
    <w:rsid w:val="00533623"/>
    <w:rsid w:val="005430F4"/>
    <w:rsid w:val="00545853"/>
    <w:rsid w:val="00550916"/>
    <w:rsid w:val="00552B66"/>
    <w:rsid w:val="00555B7F"/>
    <w:rsid w:val="00555DC0"/>
    <w:rsid w:val="00557201"/>
    <w:rsid w:val="0056084F"/>
    <w:rsid w:val="005633E5"/>
    <w:rsid w:val="0057063A"/>
    <w:rsid w:val="0057167E"/>
    <w:rsid w:val="00572E9B"/>
    <w:rsid w:val="00574AAD"/>
    <w:rsid w:val="00575C56"/>
    <w:rsid w:val="005804ED"/>
    <w:rsid w:val="00581E05"/>
    <w:rsid w:val="00583ECD"/>
    <w:rsid w:val="005900A1"/>
    <w:rsid w:val="00590AC4"/>
    <w:rsid w:val="00593286"/>
    <w:rsid w:val="00595B8F"/>
    <w:rsid w:val="005971EC"/>
    <w:rsid w:val="005A015C"/>
    <w:rsid w:val="005A0385"/>
    <w:rsid w:val="005A0668"/>
    <w:rsid w:val="005A2379"/>
    <w:rsid w:val="005A60CB"/>
    <w:rsid w:val="005A65C3"/>
    <w:rsid w:val="005A7267"/>
    <w:rsid w:val="005A78FA"/>
    <w:rsid w:val="005B1304"/>
    <w:rsid w:val="005B6448"/>
    <w:rsid w:val="005B68DE"/>
    <w:rsid w:val="005B75F1"/>
    <w:rsid w:val="005C459D"/>
    <w:rsid w:val="005D184D"/>
    <w:rsid w:val="005D2F18"/>
    <w:rsid w:val="005D439E"/>
    <w:rsid w:val="005D6BC3"/>
    <w:rsid w:val="005E0FF4"/>
    <w:rsid w:val="005E56A8"/>
    <w:rsid w:val="005E6097"/>
    <w:rsid w:val="0060097D"/>
    <w:rsid w:val="00601666"/>
    <w:rsid w:val="00606A34"/>
    <w:rsid w:val="00612CAD"/>
    <w:rsid w:val="006149F1"/>
    <w:rsid w:val="0061655A"/>
    <w:rsid w:val="00617C40"/>
    <w:rsid w:val="0062167A"/>
    <w:rsid w:val="006227A1"/>
    <w:rsid w:val="00624B1D"/>
    <w:rsid w:val="00627E92"/>
    <w:rsid w:val="00633292"/>
    <w:rsid w:val="00633C71"/>
    <w:rsid w:val="00633E10"/>
    <w:rsid w:val="00633EB1"/>
    <w:rsid w:val="0064019C"/>
    <w:rsid w:val="00644229"/>
    <w:rsid w:val="00645BA3"/>
    <w:rsid w:val="00655C8A"/>
    <w:rsid w:val="00655E48"/>
    <w:rsid w:val="00661BF9"/>
    <w:rsid w:val="00662DC2"/>
    <w:rsid w:val="00666A2A"/>
    <w:rsid w:val="00671A57"/>
    <w:rsid w:val="00672A2D"/>
    <w:rsid w:val="006754E6"/>
    <w:rsid w:val="006765E2"/>
    <w:rsid w:val="006768C1"/>
    <w:rsid w:val="00676DDF"/>
    <w:rsid w:val="00681196"/>
    <w:rsid w:val="0068237B"/>
    <w:rsid w:val="00684173"/>
    <w:rsid w:val="00684482"/>
    <w:rsid w:val="00686417"/>
    <w:rsid w:val="006904AD"/>
    <w:rsid w:val="006913D8"/>
    <w:rsid w:val="0069482E"/>
    <w:rsid w:val="006A1436"/>
    <w:rsid w:val="006A48E3"/>
    <w:rsid w:val="006A63C2"/>
    <w:rsid w:val="006A6795"/>
    <w:rsid w:val="006A750C"/>
    <w:rsid w:val="006B0012"/>
    <w:rsid w:val="006B5140"/>
    <w:rsid w:val="006B5387"/>
    <w:rsid w:val="006B62B8"/>
    <w:rsid w:val="006C1259"/>
    <w:rsid w:val="006D08EC"/>
    <w:rsid w:val="006D392D"/>
    <w:rsid w:val="006E0BDB"/>
    <w:rsid w:val="006E12F4"/>
    <w:rsid w:val="006E189C"/>
    <w:rsid w:val="006E3F8A"/>
    <w:rsid w:val="006E47A9"/>
    <w:rsid w:val="006F3A8C"/>
    <w:rsid w:val="006F3D08"/>
    <w:rsid w:val="006F645D"/>
    <w:rsid w:val="006F7476"/>
    <w:rsid w:val="00704FAD"/>
    <w:rsid w:val="007054E4"/>
    <w:rsid w:val="00705AE7"/>
    <w:rsid w:val="00706672"/>
    <w:rsid w:val="00706DDE"/>
    <w:rsid w:val="00711CC6"/>
    <w:rsid w:val="00712701"/>
    <w:rsid w:val="00715C99"/>
    <w:rsid w:val="007160A2"/>
    <w:rsid w:val="00717330"/>
    <w:rsid w:val="007229BD"/>
    <w:rsid w:val="00725B04"/>
    <w:rsid w:val="00731BA2"/>
    <w:rsid w:val="007363AD"/>
    <w:rsid w:val="007414FB"/>
    <w:rsid w:val="007424B8"/>
    <w:rsid w:val="0074550A"/>
    <w:rsid w:val="00746721"/>
    <w:rsid w:val="00747307"/>
    <w:rsid w:val="00751A37"/>
    <w:rsid w:val="00757A4A"/>
    <w:rsid w:val="00762B8E"/>
    <w:rsid w:val="00763B47"/>
    <w:rsid w:val="0076759A"/>
    <w:rsid w:val="00770939"/>
    <w:rsid w:val="00770FF6"/>
    <w:rsid w:val="00774375"/>
    <w:rsid w:val="0077663E"/>
    <w:rsid w:val="007806B9"/>
    <w:rsid w:val="00780CF8"/>
    <w:rsid w:val="00781DD6"/>
    <w:rsid w:val="00785E88"/>
    <w:rsid w:val="007872CF"/>
    <w:rsid w:val="0078788A"/>
    <w:rsid w:val="00793724"/>
    <w:rsid w:val="00795771"/>
    <w:rsid w:val="00796D6B"/>
    <w:rsid w:val="007A7926"/>
    <w:rsid w:val="007A7F6F"/>
    <w:rsid w:val="007B6784"/>
    <w:rsid w:val="007C5C21"/>
    <w:rsid w:val="007C62FC"/>
    <w:rsid w:val="007D0D12"/>
    <w:rsid w:val="007D37B4"/>
    <w:rsid w:val="007D43FE"/>
    <w:rsid w:val="007D4D1E"/>
    <w:rsid w:val="007D5CCB"/>
    <w:rsid w:val="007E25C3"/>
    <w:rsid w:val="007E5260"/>
    <w:rsid w:val="007E6552"/>
    <w:rsid w:val="007F2B5A"/>
    <w:rsid w:val="007F4111"/>
    <w:rsid w:val="007F49F5"/>
    <w:rsid w:val="007F5013"/>
    <w:rsid w:val="0080209E"/>
    <w:rsid w:val="00805EF3"/>
    <w:rsid w:val="00810055"/>
    <w:rsid w:val="00811428"/>
    <w:rsid w:val="0081714C"/>
    <w:rsid w:val="00821210"/>
    <w:rsid w:val="0082169A"/>
    <w:rsid w:val="0082196E"/>
    <w:rsid w:val="00822849"/>
    <w:rsid w:val="0082380B"/>
    <w:rsid w:val="00823DC9"/>
    <w:rsid w:val="00824757"/>
    <w:rsid w:val="00826C37"/>
    <w:rsid w:val="00834A5B"/>
    <w:rsid w:val="008363A9"/>
    <w:rsid w:val="00836C92"/>
    <w:rsid w:val="0084160C"/>
    <w:rsid w:val="0084239E"/>
    <w:rsid w:val="0084578A"/>
    <w:rsid w:val="00853B1A"/>
    <w:rsid w:val="008576E2"/>
    <w:rsid w:val="00860986"/>
    <w:rsid w:val="008630B5"/>
    <w:rsid w:val="008635A3"/>
    <w:rsid w:val="00866240"/>
    <w:rsid w:val="00867CF2"/>
    <w:rsid w:val="00873961"/>
    <w:rsid w:val="00873D04"/>
    <w:rsid w:val="00875028"/>
    <w:rsid w:val="008750EC"/>
    <w:rsid w:val="00880BB2"/>
    <w:rsid w:val="008811AA"/>
    <w:rsid w:val="00883AC9"/>
    <w:rsid w:val="00885202"/>
    <w:rsid w:val="00885837"/>
    <w:rsid w:val="00887342"/>
    <w:rsid w:val="00887AE6"/>
    <w:rsid w:val="008915D3"/>
    <w:rsid w:val="008916BC"/>
    <w:rsid w:val="008930F4"/>
    <w:rsid w:val="0089406F"/>
    <w:rsid w:val="00896381"/>
    <w:rsid w:val="008A15D0"/>
    <w:rsid w:val="008A1888"/>
    <w:rsid w:val="008A619D"/>
    <w:rsid w:val="008A7057"/>
    <w:rsid w:val="008B2AAE"/>
    <w:rsid w:val="008B328C"/>
    <w:rsid w:val="008B4906"/>
    <w:rsid w:val="008B4CF3"/>
    <w:rsid w:val="008B6F43"/>
    <w:rsid w:val="008B74A2"/>
    <w:rsid w:val="008C3ED6"/>
    <w:rsid w:val="008C40D8"/>
    <w:rsid w:val="008C5026"/>
    <w:rsid w:val="008C5198"/>
    <w:rsid w:val="008C52B9"/>
    <w:rsid w:val="008C61EA"/>
    <w:rsid w:val="008D037A"/>
    <w:rsid w:val="008D20E7"/>
    <w:rsid w:val="008D4B24"/>
    <w:rsid w:val="008D5356"/>
    <w:rsid w:val="008D69FA"/>
    <w:rsid w:val="008E27D0"/>
    <w:rsid w:val="008E73C0"/>
    <w:rsid w:val="008F3899"/>
    <w:rsid w:val="009010B6"/>
    <w:rsid w:val="00901540"/>
    <w:rsid w:val="00902DC6"/>
    <w:rsid w:val="00903FA5"/>
    <w:rsid w:val="009053A6"/>
    <w:rsid w:val="009072A7"/>
    <w:rsid w:val="00911782"/>
    <w:rsid w:val="00912124"/>
    <w:rsid w:val="00914781"/>
    <w:rsid w:val="009170DE"/>
    <w:rsid w:val="0092138A"/>
    <w:rsid w:val="00921EFD"/>
    <w:rsid w:val="009223A2"/>
    <w:rsid w:val="00922721"/>
    <w:rsid w:val="00923FD6"/>
    <w:rsid w:val="00925B03"/>
    <w:rsid w:val="00930CB4"/>
    <w:rsid w:val="00931AFE"/>
    <w:rsid w:val="00936D9E"/>
    <w:rsid w:val="0094052F"/>
    <w:rsid w:val="00940C5C"/>
    <w:rsid w:val="00943379"/>
    <w:rsid w:val="009438C6"/>
    <w:rsid w:val="00943FE4"/>
    <w:rsid w:val="00947688"/>
    <w:rsid w:val="009564B3"/>
    <w:rsid w:val="00956852"/>
    <w:rsid w:val="009624EF"/>
    <w:rsid w:val="00963191"/>
    <w:rsid w:val="00964C94"/>
    <w:rsid w:val="00966D9E"/>
    <w:rsid w:val="009722D1"/>
    <w:rsid w:val="00976455"/>
    <w:rsid w:val="00980388"/>
    <w:rsid w:val="00984C0E"/>
    <w:rsid w:val="009960BB"/>
    <w:rsid w:val="00996760"/>
    <w:rsid w:val="009972D2"/>
    <w:rsid w:val="00997719"/>
    <w:rsid w:val="009A15B6"/>
    <w:rsid w:val="009A20BE"/>
    <w:rsid w:val="009A4F39"/>
    <w:rsid w:val="009A59AB"/>
    <w:rsid w:val="009A792F"/>
    <w:rsid w:val="009A7C25"/>
    <w:rsid w:val="009B192A"/>
    <w:rsid w:val="009B54C1"/>
    <w:rsid w:val="009B5907"/>
    <w:rsid w:val="009B79F8"/>
    <w:rsid w:val="009C105C"/>
    <w:rsid w:val="009C1168"/>
    <w:rsid w:val="009C23BF"/>
    <w:rsid w:val="009C46E5"/>
    <w:rsid w:val="009C4D7C"/>
    <w:rsid w:val="009C6155"/>
    <w:rsid w:val="009D2329"/>
    <w:rsid w:val="009D2D65"/>
    <w:rsid w:val="009D36EF"/>
    <w:rsid w:val="009D400B"/>
    <w:rsid w:val="009D5C46"/>
    <w:rsid w:val="009D5F9C"/>
    <w:rsid w:val="009E25A0"/>
    <w:rsid w:val="009E29D1"/>
    <w:rsid w:val="009E302C"/>
    <w:rsid w:val="009F4630"/>
    <w:rsid w:val="009F4A29"/>
    <w:rsid w:val="009F751F"/>
    <w:rsid w:val="009F7FF5"/>
    <w:rsid w:val="00A00095"/>
    <w:rsid w:val="00A00524"/>
    <w:rsid w:val="00A05680"/>
    <w:rsid w:val="00A07EB2"/>
    <w:rsid w:val="00A101DE"/>
    <w:rsid w:val="00A126F4"/>
    <w:rsid w:val="00A1356A"/>
    <w:rsid w:val="00A154C9"/>
    <w:rsid w:val="00A15C7E"/>
    <w:rsid w:val="00A20906"/>
    <w:rsid w:val="00A24456"/>
    <w:rsid w:val="00A2503D"/>
    <w:rsid w:val="00A26D17"/>
    <w:rsid w:val="00A27D07"/>
    <w:rsid w:val="00A340BC"/>
    <w:rsid w:val="00A35F99"/>
    <w:rsid w:val="00A440C2"/>
    <w:rsid w:val="00A445F5"/>
    <w:rsid w:val="00A47396"/>
    <w:rsid w:val="00A47D40"/>
    <w:rsid w:val="00A5150D"/>
    <w:rsid w:val="00A51F80"/>
    <w:rsid w:val="00A52D7D"/>
    <w:rsid w:val="00A54B9C"/>
    <w:rsid w:val="00A54DAE"/>
    <w:rsid w:val="00A56CC3"/>
    <w:rsid w:val="00A56D93"/>
    <w:rsid w:val="00A61B12"/>
    <w:rsid w:val="00A62E57"/>
    <w:rsid w:val="00A678E2"/>
    <w:rsid w:val="00A7070B"/>
    <w:rsid w:val="00A71C26"/>
    <w:rsid w:val="00A75809"/>
    <w:rsid w:val="00A768A9"/>
    <w:rsid w:val="00A8130D"/>
    <w:rsid w:val="00A84DE1"/>
    <w:rsid w:val="00A853A5"/>
    <w:rsid w:val="00A85CBA"/>
    <w:rsid w:val="00A874C1"/>
    <w:rsid w:val="00A92577"/>
    <w:rsid w:val="00A97DD6"/>
    <w:rsid w:val="00AA5605"/>
    <w:rsid w:val="00AA761C"/>
    <w:rsid w:val="00AB23E3"/>
    <w:rsid w:val="00AB433C"/>
    <w:rsid w:val="00AB44AD"/>
    <w:rsid w:val="00AB4859"/>
    <w:rsid w:val="00AB616E"/>
    <w:rsid w:val="00AB6C06"/>
    <w:rsid w:val="00AC0DF9"/>
    <w:rsid w:val="00AC2A14"/>
    <w:rsid w:val="00AC37EC"/>
    <w:rsid w:val="00AD03EE"/>
    <w:rsid w:val="00AD1289"/>
    <w:rsid w:val="00AD15F7"/>
    <w:rsid w:val="00AD18E5"/>
    <w:rsid w:val="00AD5417"/>
    <w:rsid w:val="00AD596E"/>
    <w:rsid w:val="00AD7D1B"/>
    <w:rsid w:val="00AE07CA"/>
    <w:rsid w:val="00AE0C00"/>
    <w:rsid w:val="00AE2A9B"/>
    <w:rsid w:val="00AE3BC0"/>
    <w:rsid w:val="00AF297B"/>
    <w:rsid w:val="00AF57F4"/>
    <w:rsid w:val="00AF6243"/>
    <w:rsid w:val="00B0312C"/>
    <w:rsid w:val="00B04212"/>
    <w:rsid w:val="00B04E92"/>
    <w:rsid w:val="00B06003"/>
    <w:rsid w:val="00B06CB3"/>
    <w:rsid w:val="00B10C74"/>
    <w:rsid w:val="00B12284"/>
    <w:rsid w:val="00B12507"/>
    <w:rsid w:val="00B13509"/>
    <w:rsid w:val="00B16EBD"/>
    <w:rsid w:val="00B16EF3"/>
    <w:rsid w:val="00B177B6"/>
    <w:rsid w:val="00B20FA6"/>
    <w:rsid w:val="00B2265B"/>
    <w:rsid w:val="00B22723"/>
    <w:rsid w:val="00B24BEC"/>
    <w:rsid w:val="00B35FB3"/>
    <w:rsid w:val="00B3687B"/>
    <w:rsid w:val="00B37903"/>
    <w:rsid w:val="00B43FAE"/>
    <w:rsid w:val="00B464AE"/>
    <w:rsid w:val="00B474B0"/>
    <w:rsid w:val="00B51EFF"/>
    <w:rsid w:val="00B54AFA"/>
    <w:rsid w:val="00B54DF5"/>
    <w:rsid w:val="00B609D5"/>
    <w:rsid w:val="00B64135"/>
    <w:rsid w:val="00B6430F"/>
    <w:rsid w:val="00B65FAA"/>
    <w:rsid w:val="00B661AA"/>
    <w:rsid w:val="00B726FB"/>
    <w:rsid w:val="00B740BB"/>
    <w:rsid w:val="00B80618"/>
    <w:rsid w:val="00B81E90"/>
    <w:rsid w:val="00B87B78"/>
    <w:rsid w:val="00B90057"/>
    <w:rsid w:val="00B90370"/>
    <w:rsid w:val="00B91CC1"/>
    <w:rsid w:val="00B94BE3"/>
    <w:rsid w:val="00B954DD"/>
    <w:rsid w:val="00B9584B"/>
    <w:rsid w:val="00BA003C"/>
    <w:rsid w:val="00BA0144"/>
    <w:rsid w:val="00BA6092"/>
    <w:rsid w:val="00BA629D"/>
    <w:rsid w:val="00BB1DB6"/>
    <w:rsid w:val="00BB3FA7"/>
    <w:rsid w:val="00BB5A20"/>
    <w:rsid w:val="00BB75E1"/>
    <w:rsid w:val="00BC19B8"/>
    <w:rsid w:val="00BC481D"/>
    <w:rsid w:val="00BC4AF8"/>
    <w:rsid w:val="00BC638A"/>
    <w:rsid w:val="00BC7B7D"/>
    <w:rsid w:val="00BD042B"/>
    <w:rsid w:val="00BD47EE"/>
    <w:rsid w:val="00BE0028"/>
    <w:rsid w:val="00BE04EE"/>
    <w:rsid w:val="00BE0D7E"/>
    <w:rsid w:val="00BE11E0"/>
    <w:rsid w:val="00BE17DB"/>
    <w:rsid w:val="00BE18DE"/>
    <w:rsid w:val="00BE4239"/>
    <w:rsid w:val="00BE5066"/>
    <w:rsid w:val="00BE58D6"/>
    <w:rsid w:val="00BF0F2F"/>
    <w:rsid w:val="00BF112D"/>
    <w:rsid w:val="00BF1CCE"/>
    <w:rsid w:val="00BF28D0"/>
    <w:rsid w:val="00BF4314"/>
    <w:rsid w:val="00BF71B3"/>
    <w:rsid w:val="00C026AB"/>
    <w:rsid w:val="00C02DCE"/>
    <w:rsid w:val="00C042E8"/>
    <w:rsid w:val="00C05583"/>
    <w:rsid w:val="00C10919"/>
    <w:rsid w:val="00C11F61"/>
    <w:rsid w:val="00C15DEF"/>
    <w:rsid w:val="00C15F25"/>
    <w:rsid w:val="00C1671B"/>
    <w:rsid w:val="00C21450"/>
    <w:rsid w:val="00C23BC9"/>
    <w:rsid w:val="00C25665"/>
    <w:rsid w:val="00C27D5F"/>
    <w:rsid w:val="00C34B3D"/>
    <w:rsid w:val="00C400C3"/>
    <w:rsid w:val="00C42F19"/>
    <w:rsid w:val="00C43475"/>
    <w:rsid w:val="00C47565"/>
    <w:rsid w:val="00C56A58"/>
    <w:rsid w:val="00C57144"/>
    <w:rsid w:val="00C602E1"/>
    <w:rsid w:val="00C606A1"/>
    <w:rsid w:val="00C62C47"/>
    <w:rsid w:val="00C6549B"/>
    <w:rsid w:val="00C66797"/>
    <w:rsid w:val="00C67B67"/>
    <w:rsid w:val="00C71279"/>
    <w:rsid w:val="00C83BE8"/>
    <w:rsid w:val="00C84492"/>
    <w:rsid w:val="00C9145D"/>
    <w:rsid w:val="00C96D51"/>
    <w:rsid w:val="00CA0800"/>
    <w:rsid w:val="00CA0CCA"/>
    <w:rsid w:val="00CA1FC5"/>
    <w:rsid w:val="00CA41FD"/>
    <w:rsid w:val="00CA5E67"/>
    <w:rsid w:val="00CA7A98"/>
    <w:rsid w:val="00CA7AD1"/>
    <w:rsid w:val="00CB007F"/>
    <w:rsid w:val="00CB0680"/>
    <w:rsid w:val="00CB0BD8"/>
    <w:rsid w:val="00CB23E3"/>
    <w:rsid w:val="00CB4E97"/>
    <w:rsid w:val="00CB55C5"/>
    <w:rsid w:val="00CB6834"/>
    <w:rsid w:val="00CB6FB3"/>
    <w:rsid w:val="00CC0E4A"/>
    <w:rsid w:val="00CC1EED"/>
    <w:rsid w:val="00CC31D3"/>
    <w:rsid w:val="00CC67BB"/>
    <w:rsid w:val="00CC7260"/>
    <w:rsid w:val="00CC7E2D"/>
    <w:rsid w:val="00CD1D55"/>
    <w:rsid w:val="00CD4177"/>
    <w:rsid w:val="00CD4DC2"/>
    <w:rsid w:val="00CD576D"/>
    <w:rsid w:val="00CD5C9E"/>
    <w:rsid w:val="00CD65F1"/>
    <w:rsid w:val="00CE3B78"/>
    <w:rsid w:val="00CE5027"/>
    <w:rsid w:val="00CF42B2"/>
    <w:rsid w:val="00D01073"/>
    <w:rsid w:val="00D019EA"/>
    <w:rsid w:val="00D02486"/>
    <w:rsid w:val="00D0324F"/>
    <w:rsid w:val="00D05922"/>
    <w:rsid w:val="00D10CCB"/>
    <w:rsid w:val="00D11C06"/>
    <w:rsid w:val="00D11C43"/>
    <w:rsid w:val="00D1305C"/>
    <w:rsid w:val="00D1374B"/>
    <w:rsid w:val="00D1743D"/>
    <w:rsid w:val="00D20831"/>
    <w:rsid w:val="00D216E3"/>
    <w:rsid w:val="00D22D90"/>
    <w:rsid w:val="00D25330"/>
    <w:rsid w:val="00D25FC7"/>
    <w:rsid w:val="00D307FB"/>
    <w:rsid w:val="00D312F8"/>
    <w:rsid w:val="00D35BEB"/>
    <w:rsid w:val="00D3638D"/>
    <w:rsid w:val="00D36C0B"/>
    <w:rsid w:val="00D37570"/>
    <w:rsid w:val="00D41804"/>
    <w:rsid w:val="00D4431F"/>
    <w:rsid w:val="00D44FBF"/>
    <w:rsid w:val="00D479C0"/>
    <w:rsid w:val="00D5050E"/>
    <w:rsid w:val="00D5394D"/>
    <w:rsid w:val="00D55865"/>
    <w:rsid w:val="00D5690A"/>
    <w:rsid w:val="00D57BC4"/>
    <w:rsid w:val="00D57EBB"/>
    <w:rsid w:val="00D60A6E"/>
    <w:rsid w:val="00D745DC"/>
    <w:rsid w:val="00D75CD5"/>
    <w:rsid w:val="00D80777"/>
    <w:rsid w:val="00D8091F"/>
    <w:rsid w:val="00D80A52"/>
    <w:rsid w:val="00D83CD7"/>
    <w:rsid w:val="00D863EE"/>
    <w:rsid w:val="00D869DE"/>
    <w:rsid w:val="00D86DB0"/>
    <w:rsid w:val="00D90AB4"/>
    <w:rsid w:val="00D914B0"/>
    <w:rsid w:val="00D93010"/>
    <w:rsid w:val="00D93613"/>
    <w:rsid w:val="00D95517"/>
    <w:rsid w:val="00DA05C8"/>
    <w:rsid w:val="00DA17BE"/>
    <w:rsid w:val="00DA3976"/>
    <w:rsid w:val="00DA4D8D"/>
    <w:rsid w:val="00DA6ED9"/>
    <w:rsid w:val="00DA7667"/>
    <w:rsid w:val="00DB067E"/>
    <w:rsid w:val="00DB1251"/>
    <w:rsid w:val="00DB3BAA"/>
    <w:rsid w:val="00DB4232"/>
    <w:rsid w:val="00DB4E18"/>
    <w:rsid w:val="00DC2F7E"/>
    <w:rsid w:val="00DC4FFD"/>
    <w:rsid w:val="00DC5465"/>
    <w:rsid w:val="00DC66C7"/>
    <w:rsid w:val="00DD07C4"/>
    <w:rsid w:val="00DD45F3"/>
    <w:rsid w:val="00DD6ECE"/>
    <w:rsid w:val="00DE6863"/>
    <w:rsid w:val="00DE6EF0"/>
    <w:rsid w:val="00DE7780"/>
    <w:rsid w:val="00DE7A19"/>
    <w:rsid w:val="00DE7E25"/>
    <w:rsid w:val="00DF4480"/>
    <w:rsid w:val="00DF46A9"/>
    <w:rsid w:val="00DF7547"/>
    <w:rsid w:val="00E00570"/>
    <w:rsid w:val="00E00DAC"/>
    <w:rsid w:val="00E02C51"/>
    <w:rsid w:val="00E05D97"/>
    <w:rsid w:val="00E06833"/>
    <w:rsid w:val="00E06F2E"/>
    <w:rsid w:val="00E11078"/>
    <w:rsid w:val="00E11E98"/>
    <w:rsid w:val="00E151FA"/>
    <w:rsid w:val="00E162BA"/>
    <w:rsid w:val="00E162DE"/>
    <w:rsid w:val="00E17124"/>
    <w:rsid w:val="00E20AD9"/>
    <w:rsid w:val="00E21116"/>
    <w:rsid w:val="00E214E9"/>
    <w:rsid w:val="00E22B3F"/>
    <w:rsid w:val="00E22E70"/>
    <w:rsid w:val="00E3088A"/>
    <w:rsid w:val="00E32BC9"/>
    <w:rsid w:val="00E33956"/>
    <w:rsid w:val="00E342FC"/>
    <w:rsid w:val="00E3454E"/>
    <w:rsid w:val="00E40C51"/>
    <w:rsid w:val="00E417E0"/>
    <w:rsid w:val="00E460FC"/>
    <w:rsid w:val="00E46986"/>
    <w:rsid w:val="00E514C8"/>
    <w:rsid w:val="00E52C0D"/>
    <w:rsid w:val="00E52D66"/>
    <w:rsid w:val="00E56B15"/>
    <w:rsid w:val="00E576BE"/>
    <w:rsid w:val="00E607C0"/>
    <w:rsid w:val="00E612AA"/>
    <w:rsid w:val="00E627B7"/>
    <w:rsid w:val="00E63743"/>
    <w:rsid w:val="00E6689B"/>
    <w:rsid w:val="00E7088F"/>
    <w:rsid w:val="00E72741"/>
    <w:rsid w:val="00E952A6"/>
    <w:rsid w:val="00E9597E"/>
    <w:rsid w:val="00E968E3"/>
    <w:rsid w:val="00EA16BA"/>
    <w:rsid w:val="00EA1913"/>
    <w:rsid w:val="00EA2758"/>
    <w:rsid w:val="00EA54B0"/>
    <w:rsid w:val="00EA6122"/>
    <w:rsid w:val="00EB1D4F"/>
    <w:rsid w:val="00EB3DAF"/>
    <w:rsid w:val="00EB6B1B"/>
    <w:rsid w:val="00EB6DFE"/>
    <w:rsid w:val="00EC4ED8"/>
    <w:rsid w:val="00EC58F4"/>
    <w:rsid w:val="00ED3B64"/>
    <w:rsid w:val="00ED4FF1"/>
    <w:rsid w:val="00ED5EB4"/>
    <w:rsid w:val="00EE534F"/>
    <w:rsid w:val="00EE6935"/>
    <w:rsid w:val="00EF2B9D"/>
    <w:rsid w:val="00EF3921"/>
    <w:rsid w:val="00EF5D97"/>
    <w:rsid w:val="00EF7301"/>
    <w:rsid w:val="00F01C53"/>
    <w:rsid w:val="00F0297C"/>
    <w:rsid w:val="00F07B4F"/>
    <w:rsid w:val="00F12C84"/>
    <w:rsid w:val="00F14A98"/>
    <w:rsid w:val="00F14D05"/>
    <w:rsid w:val="00F16D49"/>
    <w:rsid w:val="00F17688"/>
    <w:rsid w:val="00F202C1"/>
    <w:rsid w:val="00F22D8D"/>
    <w:rsid w:val="00F24467"/>
    <w:rsid w:val="00F24DC6"/>
    <w:rsid w:val="00F30AE9"/>
    <w:rsid w:val="00F314CA"/>
    <w:rsid w:val="00F3391B"/>
    <w:rsid w:val="00F35474"/>
    <w:rsid w:val="00F35C61"/>
    <w:rsid w:val="00F40C08"/>
    <w:rsid w:val="00F4140C"/>
    <w:rsid w:val="00F424CF"/>
    <w:rsid w:val="00F45E9B"/>
    <w:rsid w:val="00F52B49"/>
    <w:rsid w:val="00F53068"/>
    <w:rsid w:val="00F54747"/>
    <w:rsid w:val="00F60B84"/>
    <w:rsid w:val="00F66F96"/>
    <w:rsid w:val="00F71314"/>
    <w:rsid w:val="00F73ADE"/>
    <w:rsid w:val="00F753BB"/>
    <w:rsid w:val="00F75CBB"/>
    <w:rsid w:val="00F77586"/>
    <w:rsid w:val="00F77C19"/>
    <w:rsid w:val="00F823B2"/>
    <w:rsid w:val="00F8528D"/>
    <w:rsid w:val="00F853E1"/>
    <w:rsid w:val="00F85517"/>
    <w:rsid w:val="00F87D59"/>
    <w:rsid w:val="00F97AF5"/>
    <w:rsid w:val="00FA0055"/>
    <w:rsid w:val="00FA05F0"/>
    <w:rsid w:val="00FA3687"/>
    <w:rsid w:val="00FA36A9"/>
    <w:rsid w:val="00FA695A"/>
    <w:rsid w:val="00FA7552"/>
    <w:rsid w:val="00FB0F7C"/>
    <w:rsid w:val="00FB1ABE"/>
    <w:rsid w:val="00FB561C"/>
    <w:rsid w:val="00FB6B50"/>
    <w:rsid w:val="00FC3DFF"/>
    <w:rsid w:val="00FC3EB4"/>
    <w:rsid w:val="00FC5258"/>
    <w:rsid w:val="00FC70DF"/>
    <w:rsid w:val="00FD0407"/>
    <w:rsid w:val="00FD0F07"/>
    <w:rsid w:val="00FD3C9F"/>
    <w:rsid w:val="00FD4CFA"/>
    <w:rsid w:val="00FE034A"/>
    <w:rsid w:val="00FE1175"/>
    <w:rsid w:val="00FE12B1"/>
    <w:rsid w:val="00FE160D"/>
    <w:rsid w:val="00FF0BED"/>
    <w:rsid w:val="00FF131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584370D2"/>
  <w15:docId w15:val="{5E77F852-1140-4880-8837-BB4D211B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A47"/>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9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4A5B5B"/>
    <w:rPr>
      <w:sz w:val="16"/>
      <w:szCs w:val="16"/>
    </w:rPr>
  </w:style>
  <w:style w:type="paragraph" w:styleId="CommentText">
    <w:name w:val="annotation text"/>
    <w:basedOn w:val="Normal"/>
    <w:link w:val="CommentTextChar"/>
    <w:uiPriority w:val="99"/>
    <w:unhideWhenUsed/>
    <w:rsid w:val="004A5B5B"/>
    <w:pPr>
      <w:spacing w:line="240" w:lineRule="auto"/>
    </w:pPr>
    <w:rPr>
      <w:sz w:val="20"/>
      <w:szCs w:val="20"/>
    </w:rPr>
  </w:style>
  <w:style w:type="character" w:customStyle="1" w:styleId="CommentTextChar">
    <w:name w:val="Comment Text Char"/>
    <w:basedOn w:val="DefaultParagraphFont"/>
    <w:link w:val="CommentText"/>
    <w:uiPriority w:val="99"/>
    <w:rsid w:val="004A5B5B"/>
    <w:rPr>
      <w:sz w:val="20"/>
      <w:szCs w:val="20"/>
    </w:rPr>
  </w:style>
  <w:style w:type="paragraph" w:styleId="CommentSubject">
    <w:name w:val="annotation subject"/>
    <w:basedOn w:val="CommentText"/>
    <w:next w:val="CommentText"/>
    <w:link w:val="CommentSubjectChar"/>
    <w:uiPriority w:val="99"/>
    <w:semiHidden/>
    <w:unhideWhenUsed/>
    <w:rsid w:val="004A5B5B"/>
    <w:rPr>
      <w:b/>
      <w:bCs/>
    </w:rPr>
  </w:style>
  <w:style w:type="character" w:customStyle="1" w:styleId="CommentSubjectChar">
    <w:name w:val="Comment Subject Char"/>
    <w:basedOn w:val="CommentTextChar"/>
    <w:link w:val="CommentSubject"/>
    <w:uiPriority w:val="99"/>
    <w:semiHidden/>
    <w:rsid w:val="004A5B5B"/>
    <w:rPr>
      <w:b/>
      <w:bCs/>
      <w:sz w:val="20"/>
      <w:szCs w:val="20"/>
    </w:rPr>
  </w:style>
  <w:style w:type="paragraph" w:customStyle="1" w:styleId="Default">
    <w:name w:val="Default"/>
    <w:rsid w:val="00D0248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07E6"/>
    <w:pPr>
      <w:spacing w:after="0" w:line="240" w:lineRule="auto"/>
    </w:pPr>
  </w:style>
  <w:style w:type="paragraph" w:customStyle="1" w:styleId="xmsonormal">
    <w:name w:val="x_msonormal"/>
    <w:basedOn w:val="Normal"/>
    <w:rsid w:val="00436D1E"/>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43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FE4"/>
    <w:rPr>
      <w:sz w:val="20"/>
      <w:szCs w:val="20"/>
    </w:rPr>
  </w:style>
  <w:style w:type="character" w:styleId="FootnoteReference">
    <w:name w:val="footnote reference"/>
    <w:basedOn w:val="DefaultParagraphFont"/>
    <w:uiPriority w:val="99"/>
    <w:semiHidden/>
    <w:unhideWhenUsed/>
    <w:rsid w:val="00943FE4"/>
    <w:rPr>
      <w:vertAlign w:val="superscript"/>
    </w:rPr>
  </w:style>
  <w:style w:type="paragraph" w:styleId="Revision">
    <w:name w:val="Revision"/>
    <w:hidden/>
    <w:uiPriority w:val="99"/>
    <w:semiHidden/>
    <w:rsid w:val="00763B47"/>
    <w:pPr>
      <w:spacing w:after="0" w:line="240" w:lineRule="auto"/>
    </w:pPr>
  </w:style>
  <w:style w:type="character" w:styleId="Hyperlink">
    <w:name w:val="Hyperlink"/>
    <w:basedOn w:val="DefaultParagraphFont"/>
    <w:uiPriority w:val="99"/>
    <w:unhideWhenUsed/>
    <w:rsid w:val="000242E8"/>
    <w:rPr>
      <w:color w:val="0000FF"/>
      <w:u w:val="single"/>
    </w:rPr>
  </w:style>
  <w:style w:type="character" w:styleId="UnresolvedMention">
    <w:name w:val="Unresolved Mention"/>
    <w:basedOn w:val="DefaultParagraphFont"/>
    <w:uiPriority w:val="99"/>
    <w:rsid w:val="00024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png" /><Relationship Id="rId12" Type="http://schemas.openxmlformats.org/officeDocument/2006/relationships/image" Target="media/image8.jpeg" /><Relationship Id="rId13" Type="http://schemas.openxmlformats.org/officeDocument/2006/relationships/image" Target="media/image9.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jpe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DFE6D4-5F05-4E18-B505-8414723D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6224</Words>
  <Characters>35479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17</cp:revision>
  <cp:lastPrinted>2014-03-21T13:56:00Z</cp:lastPrinted>
  <dcterms:created xsi:type="dcterms:W3CDTF">2022-10-21T09:36:00Z</dcterms:created>
  <dcterms:modified xsi:type="dcterms:W3CDTF">2022-10-27T17:14:00Z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Quarter Two Performance Monitoring Report 2022-2023</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Howard Anthony, Michael Johnson</vt:lpwstr>
  </property>
  <property fmtid="{D5CDD505-2E9C-101B-9397-08002B2CF9AE}" pid="7" name="LeadOfficerEmail">
    <vt:lpwstr>howard.anthony@southribble.gov.uk, mjohnson@southribble.gov.uk</vt:lpwstr>
  </property>
  <property fmtid="{D5CDD505-2E9C-101B-9397-08002B2CF9AE}" pid="8" name="LeadOfficerPost">
    <vt:lpwstr>Interim Shared Services Lead - Transformation and Partnerships, Policy Officer (Engagement)</vt:lpwstr>
  </property>
  <property fmtid="{D5CDD505-2E9C-101B-9397-08002B2CF9AE}" pid="9" name="MeetingDate">
    <vt:lpwstr>Monday, 14 November 2022</vt:lpwstr>
  </property>
  <property fmtid="{D5CDD505-2E9C-101B-9397-08002B2CF9AE}" pid="10" name="MeetingDateLegal">
    <vt:lpwstr>MeetingDateLegal</vt:lpwstr>
  </property>
</Properties>
</file>